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widowControl/>
              <w:tabs>
                <w:tab w:val="clear" w:pos="720"/>
                <w:tab w:val="left" w:pos="2412" w:leader="none"/>
              </w:tabs>
              <w:ind w:start="1962" w:end="0"/>
              <w:rPr/>
            </w:pPr>
            <w:r>
              <w:rPr/>
              <w:fldChar w:fldCharType="begin"/>
            </w:r>
            <w:r>
              <w:rPr/>
              <w:instrText xml:space="preserve"> MERGEFIELD EnronLogoAddr1 </w:instrText>
            </w:r>
            <w:r>
              <w:rPr/>
              <w:fldChar w:fldCharType="separate"/>
            </w:r>
            <w:r>
              <w:rPr/>
              <w:t>P.O. Box 4428</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77210-4428</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EnronLogoAddr3 </w:instrText>
            </w:r>
            <w:r>
              <w:rPr/>
              <w:fldChar w:fldCharType="separate"/>
            </w:r>
            <w:r>
              <w:rPr/>
              <w:t>(713) 853-3300</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646-4816</w:t>
            </w:r>
            <w:r>
              <w:rPr/>
              <w:fldChar w:fldCharType="end"/>
            </w:r>
          </w:p>
          <w:p>
            <w:pPr>
              <w:pStyle w:val="Normal"/>
              <w:widowContro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widowControl/>
        <w:jc w:val="center"/>
        <w:rPr>
          <w:sz w:val="22"/>
        </w:rPr>
      </w:pPr>
      <w:r>
        <w:rPr>
          <w:sz w:val="22"/>
        </w:rPr>
      </w:r>
    </w:p>
    <w:p>
      <w:pPr>
        <w:pStyle w:val="Normal"/>
        <w:widowControl/>
        <w:jc w:val="center"/>
        <w:rPr>
          <w:b/>
          <w:sz w:val="22"/>
        </w:rPr>
      </w:pPr>
      <w:r>
        <w:rPr>
          <w:b/>
          <w:sz w:val="22"/>
          <w:u w:val="single"/>
        </w:rPr>
        <w:t>CONFIRMATION OF AN OPTION</w:t>
      </w:r>
    </w:p>
    <w:p>
      <w:pPr>
        <w:pStyle w:val="Normal"/>
        <w:widowControl/>
        <w:jc w:val="center"/>
        <w:rPr/>
      </w:pPr>
      <w:r>
        <w:rPr>
          <w:b/>
          <w:sz w:val="22"/>
        </w:rPr>
        <w:t>(</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b/>
          <w:sz w:val="22"/>
        </w:rPr>
      </w:pPr>
      <w:r>
        <w:rPr>
          <w:b/>
          <w:sz w:val="22"/>
        </w:rPr>
      </w:r>
    </w:p>
    <w:p>
      <w:pPr>
        <w:pStyle w:val="Normal"/>
        <w:widowContro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May 31, 2000</w:t>
      </w:r>
      <w:r>
        <w:rPr>
          <w:sz w:val="22"/>
        </w:rPr>
        <w:fldChar w:fldCharType="end"/>
      </w:r>
    </w:p>
    <w:p>
      <w:pPr>
        <w:pStyle w:val="Normal"/>
        <w:widowContro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Small Ventures USA, L.L.C.</w:t>
      </w:r>
      <w:r>
        <w:rPr>
          <w:sz w:val="22"/>
        </w:rPr>
        <w:fldChar w:fldCharType="end"/>
      </w:r>
      <w:r>
        <w:rPr>
          <w:sz w:val="22"/>
        </w:rPr>
        <w:t xml:space="preserve"> ("Counterparty")</w:t>
      </w:r>
    </w:p>
    <w:p>
      <w:pPr>
        <w:pStyle w:val="Normal"/>
        <w:widowContro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widowContro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(713) 523-3850</w:t>
      </w:r>
      <w:r>
        <w:rPr>
          <w:sz w:val="22"/>
        </w:rPr>
        <w:fldChar w:fldCharType="end"/>
      </w:r>
    </w:p>
    <w:p>
      <w:pPr>
        <w:pStyle w:val="Normal"/>
        <w:widowContro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widowControl/>
        <w:rPr>
          <w:sz w:val="22"/>
        </w:rPr>
      </w:pPr>
      <w:r>
        <w:rPr>
          <w:sz w:val="22"/>
        </w:rPr>
        <w:t>Re:</w:t>
        <w:tab/>
        <w:tab/>
        <w:tab/>
        <w:tab/>
        <w:t>Commodity Option</w:t>
      </w:r>
    </w:p>
    <w:p>
      <w:pPr>
        <w:pStyle w:val="Normal"/>
        <w:widowControl/>
        <w:rPr>
          <w:sz w:val="22"/>
        </w:rPr>
      </w:pPr>
      <w:r>
        <w:rPr>
          <w:sz w:val="22"/>
        </w:rPr>
        <w:t>Contract  No.:</w:t>
        <w:tab/>
        <w:tab/>
        <w:tab/>
        <w:t xml:space="preserve">ENA Contract No. </w:t>
      </w:r>
      <w:r>
        <w:rPr>
          <w:sz w:val="22"/>
        </w:rPr>
        <w:fldChar w:fldCharType="begin"/>
      </w:r>
      <w:r>
        <w:rPr>
          <w:sz w:val="22"/>
        </w:rPr>
        <w:instrText xml:space="preserve"> MERGEFIELD DealNumber </w:instrText>
      </w:r>
      <w:r>
        <w:rPr>
          <w:sz w:val="22"/>
        </w:rPr>
        <w:fldChar w:fldCharType="separate"/>
      </w:r>
      <w:r>
        <w:rPr>
          <w:sz w:val="22"/>
        </w:rPr>
        <w:t>NK7868.1</w:t>
      </w:r>
      <w:r>
        <w:rPr>
          <w:sz w:val="22"/>
        </w:rPr>
        <w:fldChar w:fldCharType="end"/>
      </w:r>
    </w:p>
    <w:p>
      <w:pPr>
        <w:pStyle w:val="Normal"/>
        <w:widowControl/>
        <w:rPr>
          <w:sz w:val="22"/>
        </w:rPr>
      </w:pPr>
      <w:r>
        <w:rPr>
          <w:sz w:val="22"/>
        </w:rPr>
      </w:r>
    </w:p>
    <w:p>
      <w:pPr>
        <w:pStyle w:val="Normal"/>
        <w:widowControl/>
        <w:ind w:end="-540"/>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such Transaction is an option offered by Counterparty to ENA, and accepted by ENA, pursuant to a telephone conversation between the parties.  The terms of the particular Transaction to which this Confirmation relates are as follows:</w:t>
      </w:r>
    </w:p>
    <w:p>
      <w:pPr>
        <w:pStyle w:val="Normal"/>
        <w:widowControl/>
        <w:rPr>
          <w:sz w:val="22"/>
        </w:rPr>
      </w:pPr>
      <w:r>
        <w:rPr>
          <w:sz w:val="22"/>
        </w:rPr>
      </w:r>
    </w:p>
    <w:p>
      <w:pPr>
        <w:pStyle w:val="Normal"/>
        <w:widowControl/>
        <w:rPr>
          <w:sz w:val="22"/>
        </w:rPr>
      </w:pPr>
      <w:r>
        <w:rPr>
          <w:b/>
          <w:sz w:val="22"/>
        </w:rPr>
        <w:t xml:space="preserve">General Terms for </w:t>
      </w:r>
      <w:r>
        <w:rPr>
          <w:b/>
          <w:sz w:val="22"/>
        </w:rPr>
        <w:fldChar w:fldCharType="begin"/>
      </w:r>
      <w:r>
        <w:rPr>
          <w:sz w:val="22"/>
          <w:b/>
        </w:rPr>
        <w:instrText xml:space="preserve"> MERGEFIELD InstrTypeCallPut </w:instrText>
      </w:r>
      <w:r>
        <w:rPr>
          <w:sz w:val="22"/>
          <w:b/>
        </w:rPr>
        <w:fldChar w:fldCharType="separate"/>
      </w:r>
      <w:r>
        <w:rPr>
          <w:sz w:val="22"/>
          <w:b/>
        </w:rPr>
        <w:t>Call</w:t>
      </w:r>
      <w:r>
        <w:rPr>
          <w:sz w:val="22"/>
          <w:b/>
        </w:rPr>
        <w:fldChar w:fldCharType="end"/>
      </w:r>
      <w:r>
        <w:rPr>
          <w:b/>
          <w:sz w:val="22"/>
        </w:rPr>
        <w:t>:</w:t>
      </w:r>
    </w:p>
    <w:p>
      <w:pPr>
        <w:pStyle w:val="Normal"/>
        <w:widowControl/>
        <w:rPr>
          <w:sz w:val="22"/>
        </w:rPr>
      </w:pPr>
      <w:r>
        <w:rPr>
          <w:sz w:val="22"/>
        </w:rPr>
      </w:r>
    </w:p>
    <w:p>
      <w:pPr>
        <w:pStyle w:val="Normal"/>
        <w:widowControl/>
        <w:rPr>
          <w:sz w:val="22"/>
        </w:rPr>
      </w:pPr>
      <w:r>
        <w:rPr>
          <w:sz w:val="22"/>
        </w:rPr>
        <w:tab/>
        <w:t>Trade Date:</w:t>
        <w:tab/>
        <w:tab/>
        <w:tab/>
        <w:tab/>
      </w:r>
      <w:r>
        <w:rPr>
          <w:sz w:val="22"/>
        </w:rPr>
        <w:fldChar w:fldCharType="begin"/>
      </w:r>
      <w:r>
        <w:rPr>
          <w:sz w:val="22"/>
        </w:rPr>
        <w:instrText xml:space="preserve"> MERGEFIELD DealDate </w:instrText>
      </w:r>
      <w:r>
        <w:rPr>
          <w:sz w:val="22"/>
        </w:rPr>
        <w:fldChar w:fldCharType="separate"/>
      </w:r>
      <w:r>
        <w:rPr>
          <w:sz w:val="22"/>
        </w:rPr>
        <w:t>May 31, 2000</w:t>
      </w:r>
      <w:r>
        <w:rPr>
          <w:sz w:val="22"/>
        </w:rPr>
        <w:fldChar w:fldCharType="end"/>
      </w:r>
    </w:p>
    <w:p>
      <w:pPr>
        <w:pStyle w:val="Normal"/>
        <w:widowControl/>
        <w:rPr>
          <w:sz w:val="22"/>
        </w:rPr>
      </w:pPr>
      <w:r>
        <w:rPr>
          <w:sz w:val="22"/>
        </w:rPr>
      </w:r>
    </w:p>
    <w:p>
      <w:pPr>
        <w:pStyle w:val="Normal"/>
        <w:widowControl/>
        <w:tabs>
          <w:tab w:val="left" w:pos="720" w:leader="none"/>
        </w:tabs>
        <w:rPr>
          <w:sz w:val="22"/>
        </w:rPr>
      </w:pPr>
      <w:r>
        <w:rPr>
          <w:sz w:val="22"/>
        </w:rPr>
        <w:tab/>
        <w:t>Commodity:</w:t>
        <w:tab/>
        <w:tab/>
        <w:tab/>
        <w:tab/>
      </w: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p>
      <w:pPr>
        <w:pStyle w:val="Normal"/>
        <w:widowControl/>
        <w:rPr>
          <w:sz w:val="22"/>
        </w:rPr>
      </w:pPr>
      <w:r>
        <w:rPr>
          <w:sz w:val="22"/>
        </w:rPr>
      </w:r>
    </w:p>
    <w:p>
      <w:pPr>
        <w:pStyle w:val="Normal"/>
        <w:widowControl/>
        <w:rPr>
          <w:sz w:val="22"/>
        </w:rPr>
      </w:pPr>
      <w:r>
        <w:rPr>
          <w:sz w:val="22"/>
        </w:rPr>
        <w:tab/>
        <w:t>Commodity Unit:</w:t>
        <w:tab/>
        <w:tab/>
        <w:tab/>
      </w: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p>
      <w:pPr>
        <w:pStyle w:val="Normal"/>
        <w:widowControl/>
        <w:rPr>
          <w:sz w:val="22"/>
        </w:rPr>
      </w:pPr>
      <w:r>
        <w:rPr>
          <w:sz w:val="22"/>
        </w:rPr>
      </w:r>
    </w:p>
    <w:p>
      <w:pPr>
        <w:pStyle w:val="Normal"/>
        <w:widowControl/>
        <w:rPr/>
      </w:pPr>
      <w:r>
        <w:rPr>
          <w:sz w:val="22"/>
        </w:rPr>
        <w:tab/>
        <w:t>Option Type:</w:t>
        <w:tab/>
        <w:tab/>
        <w:tab/>
        <w:tab/>
      </w:r>
      <w:r>
        <w:rPr>
          <w:sz w:val="22"/>
        </w:rPr>
        <w:fldChar w:fldCharType="begin"/>
      </w:r>
      <w:r>
        <w:rPr>
          <w:sz w:val="22"/>
        </w:rPr>
        <w:instrText xml:space="preserve"> MERGEFIELD InstrTypeCallPut </w:instrText>
      </w:r>
      <w:r>
        <w:rPr>
          <w:sz w:val="22"/>
        </w:rPr>
        <w:fldChar w:fldCharType="separate"/>
      </w:r>
      <w:r>
        <w:rPr>
          <w:sz w:val="22"/>
        </w:rPr>
        <w:t>Call</w:t>
      </w:r>
      <w:r>
        <w:rPr>
          <w:sz w:val="22"/>
        </w:rPr>
        <w:fldChar w:fldCharType="end"/>
      </w:r>
      <w:r>
        <w:rPr>
          <w:sz w:val="22"/>
        </w:rPr>
        <w:t xml:space="preserve"> Option</w:t>
      </w:r>
    </w:p>
    <w:p>
      <w:pPr>
        <w:pStyle w:val="Normal"/>
        <w:widowControl/>
        <w:rPr>
          <w:sz w:val="22"/>
        </w:rPr>
      </w:pPr>
      <w:r>
        <w:rPr>
          <w:sz w:val="22"/>
        </w:rPr>
      </w:r>
    </w:p>
    <w:p>
      <w:pPr>
        <w:pStyle w:val="Normal"/>
        <w:widowControl/>
        <w:rPr>
          <w:sz w:val="22"/>
        </w:rPr>
      </w:pPr>
      <w:r>
        <w:rPr>
          <w:sz w:val="22"/>
        </w:rPr>
        <w:tab/>
        <w:t>Seller:</w:t>
        <w:tab/>
        <w:tab/>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widowControl/>
        <w:rPr>
          <w:sz w:val="22"/>
        </w:rPr>
      </w:pPr>
      <w:r>
        <w:rPr>
          <w:sz w:val="22"/>
        </w:rPr>
      </w:r>
    </w:p>
    <w:p>
      <w:pPr>
        <w:pStyle w:val="Normal"/>
        <w:widowControl/>
        <w:rPr>
          <w:sz w:val="22"/>
        </w:rPr>
      </w:pPr>
      <w:r>
        <w:rPr>
          <w:sz w:val="22"/>
        </w:rPr>
        <w:tab/>
        <w:t>Buyer:</w:t>
        <w:tab/>
        <w:tab/>
        <w:tab/>
        <w:tab/>
        <w:tab/>
      </w:r>
      <w:r>
        <w:rPr>
          <w:sz w:val="22"/>
        </w:rPr>
        <w:fldChar w:fldCharType="begin"/>
      </w:r>
      <w:r>
        <w:rPr>
          <w:sz w:val="22"/>
        </w:rPr>
        <w:instrText xml:space="preserve"> MERGEFIELD FixedPayerWCP </w:instrText>
      </w:r>
      <w:r>
        <w:rPr>
          <w:sz w:val="22"/>
        </w:rPr>
        <w:fldChar w:fldCharType="separate"/>
      </w:r>
      <w:r>
        <w:rPr>
          <w:sz w:val="22"/>
        </w:rPr>
        <w:t>ENA</w:t>
      </w:r>
      <w:r>
        <w:rPr>
          <w:sz w:val="22"/>
        </w:rPr>
        <w:fldChar w:fldCharType="end"/>
      </w:r>
    </w:p>
    <w:p>
      <w:pPr>
        <w:pStyle w:val="Normal"/>
        <w:widowControl/>
        <w:rPr>
          <w:sz w:val="22"/>
        </w:rPr>
      </w:pPr>
      <w:r>
        <w:rPr>
          <w:sz w:val="22"/>
        </w:rPr>
      </w:r>
    </w:p>
    <w:p>
      <w:pPr>
        <w:pStyle w:val="Normal"/>
        <w:widowControl/>
        <w:rPr/>
      </w:pPr>
      <w:r>
        <w:rPr>
          <w:sz w:val="22"/>
        </w:rPr>
        <w:tab/>
        <w:t>Total Premium:</w:t>
        <w:tab/>
        <w:tab/>
        <w:tab/>
        <w:tab/>
      </w:r>
      <w:r>
        <w:rPr>
          <w:sz w:val="22"/>
        </w:rPr>
        <w:fldChar w:fldCharType="begin"/>
      </w:r>
      <w:r>
        <w:rPr>
          <w:sz w:val="22"/>
        </w:rPr>
        <w:instrText xml:space="preserve"> MERGEFIELD OptionPremiumAmt </w:instrText>
      </w:r>
      <w:r>
        <w:rPr>
          <w:sz w:val="22"/>
        </w:rPr>
        <w:fldChar w:fldCharType="separate"/>
      </w:r>
      <w:r>
        <w:rPr>
          <w:sz w:val="22"/>
        </w:rPr>
        <w:t>US Dollars $60,000.00</w:t>
      </w:r>
      <w:r>
        <w:rPr>
          <w:sz w:val="22"/>
        </w:rPr>
        <w:fldChar w:fldCharType="end"/>
      </w:r>
      <w:r>
        <w:rPr>
          <w:sz w:val="22"/>
        </w:rPr>
        <w:t xml:space="preserve"> due Seller</w:t>
      </w:r>
    </w:p>
    <w:p>
      <w:pPr>
        <w:pStyle w:val="Normal"/>
        <w:widowControl/>
        <w:rPr>
          <w:sz w:val="22"/>
        </w:rPr>
      </w:pPr>
      <w:r>
        <w:rPr>
          <w:sz w:val="22"/>
        </w:rPr>
      </w:r>
    </w:p>
    <w:p>
      <w:pPr>
        <w:pStyle w:val="Normal"/>
        <w:widowControl/>
        <w:rPr>
          <w:sz w:val="22"/>
        </w:rPr>
      </w:pPr>
      <w:r>
        <w:rPr>
          <w:sz w:val="22"/>
        </w:rPr>
        <w:tab/>
        <w:t>Premium Payment Date(s):</w:t>
        <w:tab/>
        <w:tab/>
      </w:r>
      <w:r>
        <w:rPr>
          <w:sz w:val="22"/>
        </w:rPr>
        <w:fldChar w:fldCharType="begin"/>
      </w:r>
      <w:r>
        <w:rPr>
          <w:sz w:val="22"/>
        </w:rPr>
        <w:instrText xml:space="preserve"> MERGEFIELD OptionPremiumDate </w:instrText>
      </w:r>
      <w:r>
        <w:rPr>
          <w:sz w:val="22"/>
        </w:rPr>
        <w:fldChar w:fldCharType="separate"/>
      </w:r>
      <w:r>
        <w:rPr>
          <w:sz w:val="22"/>
        </w:rPr>
        <w:t>June 2, 2000</w:t>
      </w:r>
      <w:r>
        <w:rPr>
          <w:sz w:val="22"/>
        </w:rPr>
        <w:fldChar w:fldCharType="end"/>
      </w:r>
    </w:p>
    <w:p>
      <w:pPr>
        <w:pStyle w:val="Normal"/>
        <w:widowControl/>
        <w:rPr>
          <w:sz w:val="22"/>
        </w:rPr>
      </w:pPr>
      <w:r>
        <w:rPr>
          <w:sz w:val="22"/>
        </w:rPr>
      </w:r>
    </w:p>
    <w:p>
      <w:pPr>
        <w:pStyle w:val="Normal"/>
        <w:widowControl/>
        <w:rPr>
          <w:sz w:val="22"/>
        </w:rPr>
      </w:pPr>
      <w:r>
        <w:rPr>
          <w:sz w:val="22"/>
        </w:rPr>
        <w:tab/>
        <w:t>Automatic Exercise:</w:t>
        <w:tab/>
        <w:tab/>
        <w:tab/>
        <w:t>Applicable</w:t>
      </w:r>
    </w:p>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widowControl/>
              <w:ind w:firstLine="720" w:end="0"/>
              <w:rPr>
                <w:sz w:val="22"/>
              </w:rPr>
            </w:pPr>
            <w:r>
              <w:rPr>
                <w:sz w:val="22"/>
              </w:rPr>
              <w:t>Exercise Period:</w:t>
            </w:r>
          </w:p>
        </w:tc>
        <w:tc>
          <w:tcPr>
            <w:tcW w:w="5580" w:type="dxa"/>
            <w:tcBorders/>
          </w:tcPr>
          <w:p>
            <w:pPr>
              <w:pStyle w:val="Normal"/>
              <w:widowControl/>
              <w:jc w:val="both"/>
              <w:rPr>
                <w:sz w:val="22"/>
              </w:rPr>
            </w:pPr>
            <w:r>
              <w:rPr>
                <w:sz w:val="22"/>
              </w:rPr>
              <w:t>Inapplicable</w:t>
            </w:r>
          </w:p>
        </w:tc>
      </w:tr>
    </w:tbl>
    <w:p>
      <w:pPr>
        <w:pStyle w:val="Normal"/>
        <w:widowControl/>
        <w:rPr>
          <w:sz w:val="22"/>
        </w:rPr>
      </w:pPr>
      <w:r>
        <w:rPr>
          <w:sz w:val="22"/>
        </w:rPr>
        <w:tab/>
      </w:r>
    </w:p>
    <w:p>
      <w:pPr>
        <w:pStyle w:val="Normal"/>
        <w:widowControl/>
        <w:rPr>
          <w:sz w:val="22"/>
        </w:rPr>
      </w:pPr>
      <w:r>
        <w:rPr>
          <w:sz w:val="22"/>
        </w:rPr>
        <w:tab/>
        <w:t>Written Confirmation:</w:t>
        <w:tab/>
        <w:tab/>
        <w:tab/>
        <w:t>Inapplicable</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b/>
          <w:sz w:val="22"/>
        </w:rPr>
        <w:t>Transaction Terms:</w:t>
      </w:r>
    </w:p>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start="720" w:end="0"/>
              <w:rPr>
                <w:sz w:val="22"/>
              </w:rPr>
            </w:pPr>
            <w:r>
              <w:rPr>
                <w:sz w:val="22"/>
              </w:rPr>
              <w:t>Notional Quantity per</w:t>
            </w:r>
          </w:p>
        </w:tc>
        <w:tc>
          <w:tcPr>
            <w:tcW w:w="5670" w:type="dxa"/>
            <w:tcBorders/>
          </w:tcPr>
          <w:p>
            <w:pPr>
              <w:pStyle w:val="Normal"/>
              <w:widowControl/>
              <w:snapToGrid w:val="false"/>
              <w:rPr>
                <w:sz w:val="22"/>
              </w:rPr>
            </w:pPr>
            <w:r>
              <w:rPr>
                <w:sz w:val="22"/>
              </w:rPr>
            </w:r>
          </w:p>
        </w:tc>
      </w:tr>
      <w:tr>
        <w:trPr/>
        <w:tc>
          <w:tcPr>
            <w:tcW w:w="4248" w:type="dxa"/>
            <w:tcBorders/>
          </w:tcPr>
          <w:p>
            <w:pPr>
              <w:pStyle w:val="Normal"/>
              <w:widowControl/>
              <w:ind w:start="720" w:end="0"/>
              <w:rPr>
                <w:sz w:val="22"/>
              </w:rPr>
            </w:pPr>
            <w:r>
              <w:rPr>
                <w:sz w:val="22"/>
              </w:rPr>
              <w:t>Determination Period:</w:t>
            </w:r>
          </w:p>
        </w:tc>
        <w:tc>
          <w:tcPr>
            <w:tcW w:w="5670" w:type="dxa"/>
            <w:tcBorders/>
          </w:tcPr>
          <w:p>
            <w:pPr>
              <w:pStyle w:val="Normal"/>
              <w:widowControl/>
              <w:rPr>
                <w:sz w:val="22"/>
              </w:rPr>
            </w:pPr>
            <w:r>
              <w:rPr>
                <w:sz w:val="22"/>
              </w:rPr>
              <w:fldChar w:fldCharType="begin"/>
            </w:r>
            <w:r>
              <w:rPr>
                <w:sz w:val="22"/>
              </w:rPr>
              <w:instrText xml:space="preserve"> MERGEFIELD QtyPerPeriod </w:instrText>
            </w:r>
            <w:r>
              <w:rPr>
                <w:sz w:val="22"/>
              </w:rPr>
              <w:fldChar w:fldCharType="separate"/>
            </w:r>
            <w:r>
              <w:rPr>
                <w:sz w:val="22"/>
              </w:rPr>
              <w:t>500,000 MMBtu per month</w:t>
            </w:r>
            <w:r>
              <w:rPr>
                <w:sz w:val="22"/>
              </w:rPr>
              <w:fldChar w:fldCharType="end"/>
            </w:r>
          </w:p>
        </w:tc>
      </w:tr>
      <w:tr>
        <w:trPr/>
        <w:tc>
          <w:tcPr>
            <w:tcW w:w="4248" w:type="dxa"/>
            <w:tcBorders/>
          </w:tcPr>
          <w:p>
            <w:pPr>
              <w:pStyle w:val="Normal"/>
              <w:widowControl/>
              <w:snapToGrid w:val="false"/>
              <w:rPr>
                <w:sz w:val="22"/>
              </w:rPr>
            </w:pPr>
            <w:r>
              <w:rPr>
                <w:sz w:val="22"/>
              </w:rPr>
            </w:r>
          </w:p>
        </w:tc>
        <w:tc>
          <w:tcPr>
            <w:tcW w:w="5670" w:type="dxa"/>
            <w:tcBorders/>
          </w:tcPr>
          <w:p>
            <w:pPr>
              <w:pStyle w:val="Normal"/>
              <w:widowControl/>
              <w:snapToGrid w:val="false"/>
              <w:rPr>
                <w:sz w:val="22"/>
              </w:rPr>
            </w:pPr>
            <w:r>
              <w:rPr>
                <w:sz w:val="22"/>
              </w:rPr>
            </w:r>
          </w:p>
        </w:tc>
      </w:tr>
    </w:tbl>
    <w:p>
      <w:pPr>
        <w:pStyle w:val="Normal"/>
        <w:widowControl/>
        <w:tabs>
          <w:tab w:val="left" w:pos="720" w:leader="none"/>
        </w:tabs>
        <w:rPr>
          <w:sz w:val="22"/>
        </w:rPr>
      </w:pPr>
      <w:r>
        <w:rPr>
          <w:sz w:val="22"/>
        </w:rPr>
        <w:tab/>
        <w:t>Effective Date:</w:t>
        <w:tab/>
        <w:tab/>
        <w:tab/>
        <w:t xml:space="preserve">           </w:t>
      </w:r>
      <w:r>
        <w:rPr>
          <w:sz w:val="22"/>
        </w:rPr>
        <w:fldChar w:fldCharType="begin"/>
      </w:r>
      <w:r>
        <w:rPr>
          <w:sz w:val="22"/>
        </w:rPr>
        <w:instrText xml:space="preserve"> MERGEFIELD TransStartDate </w:instrText>
      </w:r>
      <w:r>
        <w:rPr>
          <w:sz w:val="22"/>
        </w:rPr>
        <w:fldChar w:fldCharType="separate"/>
      </w:r>
      <w:r>
        <w:rPr>
          <w:sz w:val="22"/>
        </w:rPr>
        <w:t>February 01, 2001</w:t>
      </w:r>
      <w:r>
        <w:rPr>
          <w:sz w:val="22"/>
        </w:rPr>
        <w:fldChar w:fldCharType="end"/>
      </w:r>
    </w:p>
    <w:p>
      <w:pPr>
        <w:pStyle w:val="Normal"/>
        <w:widowControl/>
        <w:rPr>
          <w:sz w:val="22"/>
        </w:rPr>
      </w:pPr>
      <w:r>
        <w:rPr>
          <w:sz w:val="22"/>
        </w:rPr>
      </w:r>
    </w:p>
    <w:p>
      <w:pPr>
        <w:pStyle w:val="Normal"/>
        <w:widowControl/>
        <w:rPr>
          <w:sz w:val="22"/>
        </w:rPr>
      </w:pPr>
      <w:r>
        <w:rPr>
          <w:sz w:val="22"/>
        </w:rPr>
        <w:tab/>
        <w:t>Termination Date:</w:t>
        <w:tab/>
        <w:tab/>
        <w:t xml:space="preserve">           </w:t>
      </w:r>
      <w:r>
        <w:rPr>
          <w:sz w:val="22"/>
        </w:rPr>
        <w:fldChar w:fldCharType="begin"/>
      </w:r>
      <w:r>
        <w:rPr>
          <w:sz w:val="22"/>
        </w:rPr>
        <w:instrText xml:space="preserve"> MERGEFIELD TransStopDate </w:instrText>
      </w:r>
      <w:r>
        <w:rPr>
          <w:sz w:val="22"/>
        </w:rPr>
        <w:fldChar w:fldCharType="separate"/>
      </w:r>
      <w:r>
        <w:rPr>
          <w:sz w:val="22"/>
        </w:rPr>
        <w:t>February 28, 2001</w:t>
      </w:r>
      <w:r>
        <w:rPr>
          <w:sz w:val="22"/>
        </w:rPr>
        <w:fldChar w:fldCharType="end"/>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rPr>
                <w:sz w:val="22"/>
              </w:rPr>
            </w:pPr>
            <w:r>
              <w:rPr>
                <w:sz w:val="22"/>
              </w:rPr>
              <w:t xml:space="preserve">             </w:t>
            </w:r>
            <w:r>
              <w:rPr>
                <w:sz w:val="22"/>
              </w:rPr>
              <w:t>Determination Period(s):</w:t>
            </w:r>
          </w:p>
        </w:tc>
        <w:tc>
          <w:tcPr>
            <w:tcW w:w="5328" w:type="dxa"/>
            <w:tcBorders/>
          </w:tcPr>
          <w:p>
            <w:pPr>
              <w:pStyle w:val="Normal"/>
              <w:widowContro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February 01, 2001 and ending on February 28, 2001.</w:t>
            </w:r>
            <w:r>
              <w:rPr>
                <w:sz w:val="22"/>
              </w:rPr>
              <w:fldChar w:fldCharType="end"/>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Strike Price:</w:t>
            </w:r>
          </w:p>
        </w:tc>
        <w:tc>
          <w:tcPr>
            <w:tcW w:w="5670" w:type="dxa"/>
            <w:tcBorders/>
          </w:tcPr>
          <w:p>
            <w:pPr>
              <w:pStyle w:val="Normal"/>
              <w:widowControl/>
              <w:jc w:val="both"/>
              <w:rPr>
                <w:sz w:val="22"/>
              </w:rPr>
            </w:pPr>
            <w:r>
              <w:rPr>
                <w:sz w:val="22"/>
              </w:rPr>
              <w:fldChar w:fldCharType="begin"/>
            </w:r>
            <w:r>
              <w:rPr>
                <w:sz w:val="22"/>
              </w:rPr>
              <w:instrText xml:space="preserve"> MERGEFIELD FixedPrice </w:instrText>
            </w:r>
            <w:r>
              <w:rPr>
                <w:sz w:val="22"/>
              </w:rPr>
              <w:fldChar w:fldCharType="separate"/>
            </w:r>
            <w:r>
              <w:rPr>
                <w:sz w:val="22"/>
              </w:rPr>
              <w:t>US Dollars $10.00000 per MMBtu</w:t>
            </w:r>
            <w:r>
              <w:rPr>
                <w:sz w:val="22"/>
              </w:rPr>
              <w:fldChar w:fldCharType="end"/>
            </w:r>
          </w:p>
        </w:tc>
      </w:tr>
    </w:tbl>
    <w:p>
      <w:pPr>
        <w:pStyle w:val="Normal"/>
        <w:widowContro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Floating Price:</w:t>
            </w:r>
          </w:p>
        </w:tc>
        <w:tc>
          <w:tcPr>
            <w:tcW w:w="5670" w:type="dxa"/>
            <w:tcBorders/>
          </w:tcPr>
          <w:p>
            <w:pPr>
              <w:pStyle w:val="Normal"/>
              <w:widowContro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penultimate scheduled Trading Day of the NYMEX Henry Hub Natural Gas Futures Contract for the applicable Determination Period</w:t>
            </w:r>
            <w:r>
              <w:rPr>
                <w:sz w:val="22"/>
              </w:rPr>
              <w:fldChar w:fldCharType="end"/>
            </w:r>
          </w:p>
        </w:tc>
      </w:tr>
      <w:tr>
        <w:trPr/>
        <w:tc>
          <w:tcPr>
            <w:tcW w:w="4248" w:type="dxa"/>
            <w:tcBorders/>
          </w:tcPr>
          <w:p>
            <w:pPr>
              <w:pStyle w:val="Normal"/>
              <w:widowContro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670" w:type="dxa"/>
            <w:tcBorders/>
          </w:tcPr>
          <w:p>
            <w:pPr>
              <w:pStyle w:val="Normal"/>
              <w:widowContro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248" w:type="dxa"/>
            <w:tcBorders/>
          </w:tcPr>
          <w:p>
            <w:pPr>
              <w:pStyle w:val="Normal"/>
              <w:widowControl/>
              <w:tabs>
                <w:tab w:val="left" w:pos="720" w:leader="none"/>
              </w:tabs>
              <w:ind w:firstLine="720" w:end="0"/>
              <w:rPr>
                <w:sz w:val="22"/>
              </w:rPr>
            </w:pPr>
            <w:r>
              <w:rPr>
                <w:sz w:val="22"/>
              </w:rPr>
              <w:t>Strike Price Differential:</w:t>
            </w:r>
          </w:p>
        </w:tc>
        <w:tc>
          <w:tcPr>
            <w:tcW w:w="5670" w:type="dxa"/>
            <w:tcBorders/>
          </w:tcPr>
          <w:p>
            <w:pPr>
              <w:pStyle w:val="Normal"/>
              <w:widowControl/>
              <w:jc w:val="both"/>
              <w:rPr/>
            </w:pPr>
            <w:r>
              <w:rPr>
                <w:sz w:val="22"/>
              </w:rPr>
              <w:t xml:space="preserve">A price per Commodity Unit equal to the excess (if a positive number) of  (i)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over (ii)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w:t>
            </w:r>
          </w:p>
        </w:tc>
      </w:tr>
    </w:tbl>
    <w:p>
      <w:pPr>
        <w:pStyle w:val="Normal"/>
        <w:widowContro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firstLine="720" w:end="0"/>
              <w:rPr>
                <w:sz w:val="22"/>
              </w:rPr>
            </w:pPr>
            <w:r>
              <w:rPr>
                <w:sz w:val="22"/>
              </w:rPr>
              <w:t>Cash Settlement Amount:</w:t>
            </w:r>
          </w:p>
        </w:tc>
        <w:tc>
          <w:tcPr>
            <w:tcW w:w="5670" w:type="dxa"/>
            <w:tcBorders/>
          </w:tcPr>
          <w:p>
            <w:pPr>
              <w:pStyle w:val="Normal"/>
              <w:widowControl/>
              <w:jc w:val="both"/>
              <w:rPr/>
            </w:pPr>
            <w:r>
              <w:rPr>
                <w:sz w:val="22"/>
              </w:rPr>
              <w:fldChar w:fldCharType="begin"/>
            </w:r>
            <w:r>
              <w:rPr>
                <w:sz w:val="22"/>
              </w:rPr>
              <w:instrText xml:space="preserve"> MERGEFIELD SettlementAmount </w:instrText>
            </w:r>
            <w:r>
              <w:rPr>
                <w:sz w:val="22"/>
              </w:rPr>
              <w:fldChar w:fldCharType="separate"/>
            </w:r>
            <w:r>
              <w:rPr>
                <w:sz w:val="22"/>
              </w:rPr>
              <w:t>For each relevant Determination Period, an amount ( if any ) equal to the product of (i) the Notional Quantity per Determination Period multiplied by (ii) the Strike Price Differential,</w:t>
            </w:r>
            <w:r>
              <w:rPr>
                <w:sz w:val="22"/>
              </w:rPr>
              <w:fldChar w:fldCharType="end"/>
            </w:r>
            <w:r>
              <w:rPr>
                <w:sz w:val="22"/>
              </w:rPr>
              <w:t xml:space="preserve"> </w:t>
            </w:r>
            <w:r>
              <w:rPr>
                <w:sz w:val="22"/>
              </w:rPr>
              <w:t xml:space="preserve">which amount shall be due and payable on the applicable Payment Date for such Determination Period (if for any Determination Period the </w:t>
            </w:r>
            <w:r>
              <w:rPr>
                <w:sz w:val="22"/>
              </w:rPr>
              <w:fldChar w:fldCharType="begin"/>
            </w:r>
            <w:r>
              <w:rPr>
                <w:sz w:val="22"/>
              </w:rPr>
              <w:instrText xml:space="preserve"> MERGEFIELD StrikeFloatingPrice1 </w:instrText>
            </w:r>
            <w:r>
              <w:rPr>
                <w:sz w:val="22"/>
              </w:rPr>
              <w:fldChar w:fldCharType="separate"/>
            </w:r>
            <w:r>
              <w:rPr>
                <w:sz w:val="22"/>
              </w:rPr>
              <w:t>Floating</w:t>
            </w:r>
            <w:r>
              <w:rPr>
                <w:sz w:val="22"/>
              </w:rPr>
              <w:fldChar w:fldCharType="end"/>
            </w:r>
            <w:r>
              <w:rPr>
                <w:sz w:val="22"/>
              </w:rPr>
              <w:t xml:space="preserve"> Price is equal to or less than the </w:t>
            </w:r>
            <w:r>
              <w:rPr>
                <w:sz w:val="22"/>
              </w:rPr>
              <w:fldChar w:fldCharType="begin"/>
            </w:r>
            <w:r>
              <w:rPr>
                <w:sz w:val="22"/>
              </w:rPr>
              <w:instrText xml:space="preserve"> MERGEFIELD StrikeFloatingPrice2 </w:instrText>
            </w:r>
            <w:r>
              <w:rPr>
                <w:sz w:val="22"/>
              </w:rPr>
              <w:fldChar w:fldCharType="separate"/>
            </w:r>
            <w:r>
              <w:rPr>
                <w:sz w:val="22"/>
              </w:rPr>
              <w:t>Strike</w:t>
            </w:r>
            <w:r>
              <w:rPr>
                <w:sz w:val="22"/>
              </w:rPr>
              <w:fldChar w:fldCharType="end"/>
            </w:r>
            <w:r>
              <w:rPr>
                <w:sz w:val="22"/>
              </w:rPr>
              <w:t xml:space="preserve"> Price, then no payment shall be due with respect to such Determination Period)</w:t>
            </w:r>
          </w:p>
        </w:tc>
      </w:tr>
    </w:tbl>
    <w:p>
      <w:pPr>
        <w:pStyle w:val="Normal"/>
        <w:widowControl/>
        <w:tabs>
          <w:tab w:val="clear" w:pos="720"/>
          <w:tab w:val="left" w:pos="432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widowControl/>
              <w:tabs>
                <w:tab w:val="clear" w:pos="720"/>
                <w:tab w:val="left" w:pos="4230" w:leader="none"/>
              </w:tabs>
              <w:rPr>
                <w:sz w:val="22"/>
              </w:rPr>
            </w:pPr>
            <w:r>
              <w:rPr>
                <w:sz w:val="22"/>
              </w:rPr>
              <w:t xml:space="preserve">             </w:t>
            </w:r>
            <w:r>
              <w:rPr>
                <w:sz w:val="22"/>
              </w:rPr>
              <w:t>Payment Date(s):</w:t>
            </w:r>
          </w:p>
        </w:tc>
        <w:tc>
          <w:tcPr>
            <w:tcW w:w="5328" w:type="dxa"/>
            <w:tcBorders/>
          </w:tcPr>
          <w:p>
            <w:pPr>
              <w:pStyle w:val="Normal"/>
              <w:widowControl/>
              <w:tabs>
                <w:tab w:val="clear" w:pos="720"/>
                <w:tab w:val="left" w:pos="4230" w:leader="none"/>
              </w:tabs>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widowControl/>
        <w:tabs>
          <w:tab w:val="clear" w:pos="720"/>
          <w:tab w:val="left" w:pos="4230" w:leader="none"/>
        </w:tabs>
        <w:ind w:start="720" w:end="-1260"/>
        <w:rPr>
          <w:sz w:val="22"/>
        </w:rPr>
      </w:pPr>
      <w:r>
        <w:rPr>
          <w:sz w:val="22"/>
        </w:rPr>
      </w:r>
    </w:p>
    <w:p>
      <w:pPr>
        <w:pStyle w:val="Normal"/>
        <w:widowControl/>
        <w:tabs>
          <w:tab w:val="clear" w:pos="720"/>
          <w:tab w:val="left" w:pos="4230" w:leader="none"/>
        </w:tabs>
        <w:rPr>
          <w:sz w:val="22"/>
        </w:rPr>
      </w:pPr>
      <w:r>
        <w:rPr>
          <w:b/>
          <w:sz w:val="22"/>
        </w:rPr>
        <w:t>Contractual Currency:</w:t>
      </w:r>
      <w:r>
        <w:rPr>
          <w:sz w:val="22"/>
        </w:rPr>
        <w:tab/>
      </w: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p>
      <w:pPr>
        <w:pStyle w:val="Normal"/>
        <w:widowControl/>
        <w:rPr>
          <w:sz w:val="22"/>
        </w:rPr>
      </w:pPr>
      <w:r>
        <w:rPr>
          <w:sz w:val="22"/>
        </w:rPr>
      </w:r>
    </w:p>
    <w:p>
      <w:pPr>
        <w:pStyle w:val="Normal"/>
        <w:widowControl/>
        <w:tabs>
          <w:tab w:val="clear" w:pos="720"/>
          <w:tab w:val="left" w:pos="4230" w:leader="none"/>
        </w:tabs>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p>
    <w:p>
      <w:pPr>
        <w:pStyle w:val="Normal"/>
        <w:widowControl/>
        <w:ind w:end="-720"/>
        <w:rPr/>
      </w:pPr>
      <w:r>
        <w:rPr/>
        <w:tab/>
        <w:tab/>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ind w:end="-540"/>
              <w:rPr/>
            </w:pPr>
            <w:r>
              <w:rPr>
                <w:b/>
                <w:sz w:val="22"/>
              </w:rPr>
              <w:t>General Terms and Conditions</w:t>
            </w:r>
            <w:r>
              <w:rPr>
                <w:sz w:val="22"/>
              </w:rPr>
              <w:tab/>
              <w:tab/>
            </w:r>
          </w:p>
          <w:p>
            <w:pPr>
              <w:pStyle w:val="Normal"/>
              <w:widowControl/>
              <w:rPr/>
            </w:pPr>
            <w:r>
              <w:rPr>
                <w:b/>
                <w:sz w:val="22"/>
              </w:rPr>
              <w:t>of Confirmations:</w:t>
            </w:r>
            <w:r>
              <w:rPr>
                <w:sz w:val="22"/>
              </w:rPr>
              <w:tab/>
            </w:r>
          </w:p>
        </w:tc>
        <w:tc>
          <w:tcPr>
            <w:tcW w:w="5670" w:type="dxa"/>
            <w:tcBorders/>
          </w:tcPr>
          <w:p>
            <w:pPr>
              <w:pStyle w:val="Normal"/>
              <w:widowControl/>
              <w:jc w:val="both"/>
              <w:rPr>
                <w:sz w:val="22"/>
              </w:rPr>
            </w:pPr>
            <w:r>
              <w:rPr>
                <w:sz w:val="22"/>
              </w:rPr>
              <w:t xml:space="preserve">The general terms and conditions contained in Annex A attached hereto and made part hereof apply and are incorporated herein </w:t>
            </w:r>
          </w:p>
        </w:tc>
      </w:tr>
    </w:tbl>
    <w:p>
      <w:pPr>
        <w:pStyle w:val="Normal"/>
        <w:widowControl/>
        <w:ind w:end="-990"/>
        <w:rPr/>
      </w:pPr>
      <w:r>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widowControl/>
              <w:rPr/>
            </w:pPr>
            <w:r>
              <w:rPr>
                <w:b/>
                <w:sz w:val="22"/>
              </w:rPr>
              <w:t>Credit or Other Special Provisions:</w:t>
            </w:r>
            <w:r>
              <w:rPr>
                <w:sz w:val="22"/>
              </w:rPr>
              <w:tab/>
            </w:r>
          </w:p>
        </w:tc>
        <w:tc>
          <w:tcPr>
            <w:tcW w:w="5670" w:type="dxa"/>
            <w:tcBorders/>
          </w:tcPr>
          <w:p>
            <w:pPr>
              <w:pStyle w:val="Normal"/>
              <w:widowControl/>
              <w:jc w:val="both"/>
              <w:rPr>
                <w:sz w:val="22"/>
              </w:rPr>
            </w:pPr>
            <w:r>
              <w:rPr>
                <w:sz w:val="22"/>
              </w:rPr>
              <w:fldChar w:fldCharType="begin"/>
            </w:r>
            <w:r>
              <w:rPr>
                <w:sz w:val="22"/>
              </w:rPr>
              <w:instrText xml:space="preserve"> MERGEFIELD CreditProvision </w:instrText>
            </w:r>
            <w:r>
              <w:rPr>
                <w:sz w:val="22"/>
              </w:rPr>
              <w:fldChar w:fldCharType="separate"/>
            </w:r>
            <w:r>
              <w:rPr>
                <w:sz w:val="22"/>
              </w:rPr>
              <w:t>Not Applicable</w:t>
            </w:r>
            <w:r>
              <w:rPr>
                <w:sz w:val="22"/>
              </w:rPr>
              <w:fldChar w:fldCharType="end"/>
            </w:r>
          </w:p>
        </w:tc>
      </w:tr>
    </w:tbl>
    <w:p>
      <w:pPr>
        <w:pStyle w:val="Normal"/>
        <w:widowControl/>
        <w:ind w:end="-990"/>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9918"/>
      </w:tblGrid>
      <w:tr>
        <w:trPr/>
        <w:tc>
          <w:tcPr>
            <w:tcW w:w="9918" w:type="dxa"/>
            <w:tcBorders/>
          </w:tcPr>
          <w:p>
            <w:pPr>
              <w:pStyle w:val="Normal"/>
              <w:widowContro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widowControl/>
        <w:ind w:end="-450"/>
        <w:jc w:val="both"/>
        <w:rPr>
          <w:sz w:val="22"/>
        </w:rPr>
      </w:pPr>
      <w:r>
        <w:rPr>
          <w:sz w:val="22"/>
        </w:rPr>
      </w:r>
    </w:p>
    <w:p>
      <w:pPr>
        <w:pStyle w:val="Normal"/>
        <w:widowControl/>
        <w:ind w:end="-45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widowControl/>
        <w:ind w:end="-450"/>
        <w:jc w:val="both"/>
        <w:rPr>
          <w:sz w:val="22"/>
        </w:rPr>
      </w:pPr>
      <w:r>
        <w:rPr>
          <w:sz w:val="22"/>
        </w:rPr>
      </w:r>
    </w:p>
    <w:p>
      <w:pPr>
        <w:pStyle w:val="Normal"/>
        <w:widowControl/>
        <w:ind w:end="-450"/>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widowControl/>
        <w:ind w:end="-450"/>
        <w:jc w:val="both"/>
        <w:rPr>
          <w:sz w:val="22"/>
        </w:rPr>
      </w:pPr>
      <w:r>
        <w:rPr>
          <w:sz w:val="22"/>
        </w:rPr>
      </w:r>
    </w:p>
    <w:p>
      <w:pPr>
        <w:pStyle w:val="Normal"/>
        <w:widowControl/>
        <w:ind w:firstLine="720" w:end="-45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Sincerely,</w:t>
      </w:r>
    </w:p>
    <w:p>
      <w:pPr>
        <w:pStyle w:val="Normal"/>
        <w:widowControl/>
        <w:rPr/>
      </w:pPr>
      <w:r>
        <w:rPr/>
        <w:tab/>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widowContro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5238" w:type="dxa"/>
            <w:tcBorders/>
          </w:tcPr>
          <w:p>
            <w:pPr>
              <w:pStyle w:val="Normal"/>
              <w:widowControl/>
              <w:rPr>
                <w:sz w:val="22"/>
              </w:rPr>
            </w:pPr>
            <w:r>
              <w:rPr>
                <w:sz w:val="22"/>
              </w:rPr>
              <w:fldChar w:fldCharType="begin"/>
            </w:r>
            <w:r>
              <w:rPr>
                <w:sz w:val="22"/>
              </w:rPr>
              <w:instrText xml:space="preserve"> MERGEFIELD CounterpartyName </w:instrText>
            </w:r>
            <w:r>
              <w:rPr>
                <w:sz w:val="22"/>
              </w:rPr>
              <w:fldChar w:fldCharType="separate"/>
            </w:r>
            <w:r>
              <w:rPr>
                <w:sz w:val="22"/>
              </w:rPr>
              <w:t>Small Ventures USA, L.L.C.</w:t>
            </w:r>
            <w:r>
              <w:rPr>
                <w:sz w:val="22"/>
              </w:rPr>
              <w:fldChar w:fldCharType="end"/>
            </w:r>
          </w:p>
        </w:tc>
      </w:tr>
    </w:tbl>
    <w:p>
      <w:pPr>
        <w:pStyle w:val="Normal"/>
        <w:widowControl/>
        <w:rPr>
          <w:sz w:val="22"/>
        </w:rPr>
      </w:pPr>
      <w:r>
        <w:rPr>
          <w:sz w:val="22"/>
        </w:rPr>
      </w:r>
    </w:p>
    <w:p>
      <w:pPr>
        <w:pStyle w:val="Normal"/>
        <w:widowControl/>
        <w:tabs>
          <w:tab w:val="clear" w:pos="720"/>
          <w:tab w:val="left" w:pos="4320" w:leader="none"/>
        </w:tabs>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r>
        <w:rPr>
          <w:sz w:val="22"/>
        </w:rPr>
        <w:tab/>
        <w:t xml:space="preserve">By:  </w:t>
      </w:r>
      <w:r>
        <w:rPr>
          <w:sz w:val="22"/>
          <w:u w:val="single"/>
        </w:rPr>
        <w:tab/>
        <w:tab/>
        <w:tab/>
        <w:tab/>
        <w:tab/>
        <w:tab/>
      </w:r>
    </w:p>
    <w:p>
      <w:pPr>
        <w:pStyle w:val="Normal"/>
        <w:widowControl/>
        <w:tabs>
          <w:tab w:val="clear" w:pos="720"/>
          <w:tab w:val="left" w:pos="4320" w:leader="none"/>
        </w:tabs>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r>
        <w:rPr>
          <w:sz w:val="22"/>
        </w:rPr>
        <w:tab/>
        <w:t>Name: _________________________________</w:t>
      </w:r>
    </w:p>
    <w:p>
      <w:pPr>
        <w:pStyle w:val="Normal"/>
        <w:widowControl/>
        <w:tabs>
          <w:tab w:val="clear" w:pos="720"/>
          <w:tab w:val="left" w:pos="4320" w:leader="none"/>
        </w:tabs>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rPr>
          <w:sz w:val="22"/>
        </w:rPr>
        <w:tab/>
        <w:t>Title: __________________________________</w:t>
      </w:r>
    </w:p>
    <w:p>
      <w:pPr>
        <w:pStyle w:val="Normal"/>
        <w:widowControl/>
        <w:rPr>
          <w:sz w:val="22"/>
        </w:rPr>
      </w:pPr>
      <w:r>
        <w:rPr>
          <w:sz w:val="22"/>
        </w:rPr>
      </w:r>
    </w:p>
    <w:p>
      <w:pPr>
        <w:pStyle w:val="Normal"/>
        <w:widowControl/>
        <w:ind w:end="-720"/>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widowControl/>
        <w:rPr>
          <w:b/>
          <w:sz w:val="22"/>
        </w:rPr>
      </w:pPr>
      <w:r>
        <w:rPr>
          <w:b/>
          <w:sz w:val="22"/>
        </w:rPr>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widowControl/>
              <w:rPr/>
            </w:pPr>
            <w:r>
              <w:rPr>
                <w:b/>
                <w:sz w:val="22"/>
              </w:rPr>
              <w:t>Address for Notices to ENA</w:t>
            </w:r>
            <w:r>
              <w:rPr>
                <w:sz w:val="22"/>
              </w:rPr>
              <w:t>:</w:t>
            </w:r>
          </w:p>
        </w:tc>
        <w:tc>
          <w:tcPr>
            <w:tcW w:w="4968" w:type="dxa"/>
            <w:tcBorders/>
          </w:tcPr>
          <w:p>
            <w:pPr>
              <w:pStyle w:val="Normal"/>
              <w:widowControl/>
              <w:rPr>
                <w:sz w:val="22"/>
              </w:rPr>
            </w:pPr>
            <w:r>
              <w:rPr>
                <w:b/>
                <w:sz w:val="22"/>
              </w:rPr>
              <w:t>Payment Account Information for ENA:</w:t>
            </w:r>
          </w:p>
        </w:tc>
      </w:tr>
      <w:tr>
        <w:trPr/>
        <w:tc>
          <w:tcPr>
            <w:tcW w:w="4608" w:type="dxa"/>
            <w:tcBorders/>
          </w:tcPr>
          <w:p>
            <w:pPr>
              <w:pStyle w:val="Normal"/>
              <w:widowControl/>
              <w:snapToGrid w:val="false"/>
              <w:rPr>
                <w:sz w:val="22"/>
              </w:rPr>
            </w:pPr>
            <w:r>
              <w:rPr>
                <w:sz w:val="22"/>
              </w:rPr>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68" w:type="dxa"/>
            <w:tcBorders/>
          </w:tcPr>
          <w:p>
            <w:pPr>
              <w:pStyle w:val="Normal"/>
              <w:widowContro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4608" w:type="dxa"/>
            <w:tcBorders/>
          </w:tcPr>
          <w:p>
            <w:pPr>
              <w:pStyle w:val="Normal"/>
              <w:widowContro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68" w:type="dxa"/>
            <w:tcBorders/>
          </w:tcPr>
          <w:p>
            <w:pPr>
              <w:pStyle w:val="Normal"/>
              <w:widowContro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608" w:type="dxa"/>
            <w:tcBorders/>
          </w:tcPr>
          <w:p>
            <w:pPr>
              <w:pStyle w:val="Normal"/>
              <w:widowControl/>
              <w:rPr>
                <w:sz w:val="22"/>
              </w:rPr>
            </w:pPr>
            <w:r>
              <w:rPr>
                <w:sz w:val="22"/>
              </w:rPr>
              <w:t>Attention: Director, Documentation Department</w:t>
            </w:r>
          </w:p>
        </w:tc>
        <w:tc>
          <w:tcPr>
            <w:tcW w:w="4968" w:type="dxa"/>
            <w:tcBorders/>
          </w:tcPr>
          <w:p>
            <w:pPr>
              <w:pStyle w:val="Normal"/>
              <w:widowControl/>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r>
              <w:rPr>
                <w:sz w:val="22"/>
              </w:rPr>
              <w:t>)</w:t>
            </w:r>
          </w:p>
        </w:tc>
      </w:tr>
      <w:tr>
        <w:trPr/>
        <w:tc>
          <w:tcPr>
            <w:tcW w:w="4608" w:type="dxa"/>
            <w:tcBorders/>
          </w:tcPr>
          <w:p>
            <w:pPr>
              <w:pStyle w:val="Normal"/>
              <w:widowContro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68" w:type="dxa"/>
            <w:tcBorders/>
          </w:tcPr>
          <w:p>
            <w:pPr>
              <w:pStyle w:val="Normal"/>
              <w:widowControl/>
              <w:snapToGrid w:val="false"/>
              <w:rPr>
                <w:sz w:val="22"/>
              </w:rPr>
            </w:pPr>
            <w:r>
              <w:rPr>
                <w:sz w:val="22"/>
              </w:rPr>
            </w:r>
          </w:p>
        </w:tc>
      </w:tr>
      <w:tr>
        <w:trPr/>
        <w:tc>
          <w:tcPr>
            <w:tcW w:w="4608" w:type="dxa"/>
            <w:tcBorders/>
          </w:tcPr>
          <w:p>
            <w:pPr>
              <w:pStyle w:val="Normal"/>
              <w:widowContro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68" w:type="dxa"/>
            <w:tcBorders/>
          </w:tcPr>
          <w:p>
            <w:pPr>
              <w:pStyle w:val="Normal"/>
              <w:widowControl/>
              <w:snapToGrid w:val="false"/>
              <w:rPr>
                <w:sz w:val="22"/>
              </w:rPr>
            </w:pPr>
            <w:r>
              <w:rPr>
                <w:sz w:val="22"/>
              </w:rPr>
            </w:r>
          </w:p>
        </w:tc>
      </w:tr>
    </w:tbl>
    <w:p>
      <w:pPr>
        <w:pStyle w:val="Normal"/>
        <w:widowControl/>
        <w:rPr>
          <w:sz w:val="22"/>
        </w:rPr>
      </w:pPr>
      <w:r>
        <w:rPr>
          <w:sz w:val="22"/>
        </w:rPr>
      </w:r>
    </w:p>
    <w:p>
      <w:pPr>
        <w:pStyle w:val="Normal"/>
        <w:widowControl/>
        <w:rPr>
          <w:sz w:val="22"/>
        </w:rPr>
      </w:pPr>
      <w:r>
        <w:rPr>
          <w:sz w:val="22"/>
        </w:rPr>
        <w:t>With a copy of any notice given pursuant to Section 3 or 4 of Annex A or Annex B, if any, to:</w:t>
      </w:r>
    </w:p>
    <w:p>
      <w:pPr>
        <w:pStyle w:val="Normal"/>
        <w:widowControl/>
        <w:rPr>
          <w:sz w:val="22"/>
        </w:rPr>
      </w:pPr>
      <w:r>
        <w:rPr>
          <w:sz w:val="22"/>
        </w:rPr>
      </w:r>
    </w:p>
    <w:p>
      <w:pPr>
        <w:pStyle w:val="Normal"/>
        <w:widowControl/>
        <w:rPr>
          <w:sz w:val="22"/>
        </w:rPr>
      </w:pPr>
      <w:r>
        <w:rPr>
          <w:sz w:val="22"/>
        </w:rPr>
        <w:t>1400 Smith Street</w:t>
      </w:r>
    </w:p>
    <w:p>
      <w:pPr>
        <w:pStyle w:val="Normal"/>
        <w:widowControl/>
        <w:rPr>
          <w:sz w:val="22"/>
        </w:rPr>
      </w:pPr>
      <w:r>
        <w:rPr>
          <w:sz w:val="22"/>
        </w:rPr>
        <w:t>Houston, Texas  77002</w:t>
      </w:r>
    </w:p>
    <w:p>
      <w:pPr>
        <w:pStyle w:val="Normal"/>
        <w:widowControl/>
        <w:rPr>
          <w:sz w:val="22"/>
        </w:rPr>
      </w:pPr>
      <w:r>
        <w:rPr>
          <w:sz w:val="22"/>
        </w:rPr>
        <w:t>Attn.: Assistant General Counsel, Trading Group</w:t>
      </w:r>
    </w:p>
    <w:p>
      <w:pPr>
        <w:pStyle w:val="Normal"/>
        <w:widowControl/>
        <w:rPr>
          <w:sz w:val="22"/>
        </w:rPr>
      </w:pPr>
      <w:r>
        <w:rPr>
          <w:sz w:val="22"/>
        </w:rPr>
        <w:t>Fax: (713) 646-4818</w:t>
      </w:r>
    </w:p>
    <w:p>
      <w:pPr>
        <w:pStyle w:val="Normal"/>
        <w:widowControl/>
        <w:rPr>
          <w:sz w:val="22"/>
        </w:rPr>
      </w:pPr>
      <w:r>
        <w:rPr>
          <w:sz w:val="22"/>
        </w:rPr>
      </w:r>
    </w:p>
    <w:p>
      <w:pPr>
        <w:pStyle w:val="Normal"/>
        <w:widowControl/>
        <w:ind w:end="-270"/>
        <w:rPr/>
      </w:pPr>
      <w:r>
        <w:rPr>
          <w:b/>
          <w:sz w:val="22"/>
          <w:u w:val="single"/>
        </w:rPr>
        <w:t>Address for Notices to Counterparty:</w:t>
      </w:r>
      <w:r>
        <w:rPr>
          <w:sz w:val="22"/>
        </w:rPr>
        <w:tab/>
        <w:tab/>
      </w:r>
      <w:r>
        <w:rPr>
          <w:b/>
          <w:sz w:val="22"/>
          <w:u w:val="single"/>
        </w:rPr>
        <w:t>Payment Account Information for Counterparty:</w:t>
      </w:r>
    </w:p>
    <w:p>
      <w:pPr>
        <w:pStyle w:val="Normal"/>
        <w:widowControl/>
        <w:rPr>
          <w:b/>
          <w:sz w:val="22"/>
          <w:u w:val="single"/>
        </w:rPr>
      </w:pPr>
      <w:r>
        <w:rPr>
          <w:b/>
          <w:sz w:val="22"/>
          <w:u w:val="single"/>
        </w:rPr>
      </w:r>
    </w:p>
    <w:p>
      <w:pPr>
        <w:pStyle w:val="Normal"/>
        <w:widowControl/>
        <w:rPr>
          <w:sz w:val="22"/>
        </w:rPr>
      </w:pPr>
      <w:r>
        <w:rPr>
          <w:sz w:val="22"/>
        </w:rPr>
        <w:t>Address: ____________________________</w:t>
        <w:tab/>
        <w:t>____________________________________________</w:t>
      </w:r>
    </w:p>
    <w:p>
      <w:pPr>
        <w:pStyle w:val="Normal"/>
        <w:widowControl/>
        <w:rPr>
          <w:sz w:val="22"/>
        </w:rPr>
      </w:pPr>
      <w:r>
        <w:rPr>
          <w:sz w:val="22"/>
        </w:rPr>
        <w:t>____________________________________</w:t>
        <w:tab/>
        <w:t>____________________________________________</w:t>
      </w:r>
    </w:p>
    <w:p>
      <w:pPr>
        <w:pStyle w:val="Normal"/>
        <w:widowControl/>
        <w:rPr>
          <w:sz w:val="22"/>
        </w:rPr>
      </w:pPr>
      <w:r>
        <w:rPr>
          <w:sz w:val="22"/>
        </w:rPr>
        <w:t xml:space="preserve"> </w:t>
      </w:r>
      <w:r>
        <w:rPr>
          <w:sz w:val="22"/>
        </w:rPr>
        <w:t>___________________________________</w:t>
        <w:tab/>
        <w:t>____________________________________________</w:t>
      </w:r>
    </w:p>
    <w:p>
      <w:pPr>
        <w:pStyle w:val="Normal"/>
        <w:widowControl/>
        <w:rPr>
          <w:sz w:val="22"/>
        </w:rPr>
      </w:pPr>
      <w:r>
        <w:rPr>
          <w:sz w:val="22"/>
        </w:rPr>
        <w:t>Attention: ___________________________       ____________________________________________</w:t>
      </w:r>
    </w:p>
    <w:p>
      <w:pPr>
        <w:pStyle w:val="Normal"/>
        <w:widowControl/>
        <w:rPr>
          <w:sz w:val="22"/>
        </w:rPr>
      </w:pPr>
      <w:r>
        <w:rPr>
          <w:sz w:val="22"/>
        </w:rPr>
        <w:t>Fax: ________________________________      ____________________________________________</w:t>
      </w:r>
    </w:p>
    <w:p>
      <w:pPr>
        <w:pStyle w:val="Normal"/>
        <w:widowControl/>
        <w:rPr>
          <w:sz w:val="22"/>
        </w:rPr>
      </w:pPr>
      <w:r>
        <w:rPr>
          <w:sz w:val="22"/>
        </w:rPr>
        <w:t>Phone: ______________________________      ____________________________________________</w:t>
      </w:r>
    </w:p>
    <w:p>
      <w:pPr>
        <w:pStyle w:val="Normal"/>
        <w:widowControl/>
        <w:rPr>
          <w:sz w:val="22"/>
        </w:rPr>
      </w:pPr>
      <w:r>
        <w:rPr>
          <w:sz w:val="22"/>
        </w:rPr>
      </w:r>
    </w:p>
    <w:p>
      <w:pPr>
        <w:pStyle w:val="Normal"/>
        <w:widowContro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r>
      <w:rPr>
        <w:sz w:val="20"/>
      </w:rPr>
      <w:t xml:space="preserve">Deal No. </w:t>
    </w:r>
    <w:r>
      <w:rPr>
        <w:sz w:val="20"/>
      </w:rPr>
      <w:fldChar w:fldCharType="begin"/>
    </w:r>
    <w:r>
      <w:rPr>
        <w:sz w:val="20"/>
      </w:rPr>
      <w:instrText xml:space="preserve"> TITLE </w:instrText>
    </w:r>
    <w:r>
      <w:rPr>
        <w:sz w:val="20"/>
      </w:rPr>
      <w:fldChar w:fldCharType="separate"/>
    </w:r>
    <w:r>
      <w:rPr>
        <w:sz w:val="20"/>
      </w:rPr>
      <w:t>NK7868.1</w:t>
    </w:r>
    <w:r>
      <w:rPr>
        <w:sz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2000-06-06T18:57:00Z</dcterms:created>
  <dc:creator>Enron User</dc:creator>
  <dc:description/>
  <dc:language>en-CA</dc:language>
  <cp:lastModifiedBy>sflynn2</cp:lastModifiedBy>
  <cp:lastPrinted>2000-06-06T17:02:00Z</cp:lastPrinted>
  <dcterms:modified xsi:type="dcterms:W3CDTF">2000-06-06T19:34:00Z</dcterms:modified>
  <cp:revision>4</cp:revision>
  <dc:subject>Small Ventures USA, L.L.C.</dc:subject>
  <dc:title>NK7868.1</dc:title>
</cp:coreProperties>
</file>