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00" w:after="0"/>
        <w:jc w:val="center"/>
        <w:rPr>
          <w:b/>
          <w:sz w:val="22"/>
        </w:rPr>
      </w:pPr>
      <w:r>
        <w:rPr>
          <w:sz w:val="22"/>
        </w:rPr>
        <w:t>May 9, 2001</w:t>
      </w:r>
    </w:p>
    <w:p>
      <w:pPr>
        <w:pStyle w:val="Normal"/>
        <w:widowControl/>
        <w:spacing w:before="800" w:after="0"/>
        <w:jc w:val="both"/>
        <w:rPr>
          <w:sz w:val="22"/>
        </w:rPr>
      </w:pPr>
      <w:r>
        <w:rPr>
          <w:sz w:val="22"/>
        </w:rPr>
        <w:t>Skipping Stone, Inc.</w:t>
      </w:r>
    </w:p>
    <w:p>
      <w:pPr>
        <w:pStyle w:val="Normal"/>
        <w:widowControl/>
        <w:jc w:val="both"/>
        <w:rPr>
          <w:sz w:val="22"/>
        </w:rPr>
      </w:pPr>
      <w:r>
        <w:rPr>
          <w:sz w:val="22"/>
        </w:rPr>
        <w:t>Capacity Center, Inc.</w:t>
      </w:r>
    </w:p>
    <w:p>
      <w:pPr>
        <w:pStyle w:val="Normal"/>
        <w:widowControl/>
        <w:jc w:val="both"/>
        <w:rPr>
          <w:sz w:val="22"/>
        </w:rPr>
      </w:pPr>
      <w:r>
        <w:rPr>
          <w:sz w:val="22"/>
        </w:rPr>
        <w:t>15311 West Vantage Parkway, Suite 350</w:t>
      </w:r>
    </w:p>
    <w:p>
      <w:pPr>
        <w:pStyle w:val="Normal"/>
        <w:widowControl/>
        <w:jc w:val="both"/>
        <w:rPr>
          <w:sz w:val="22"/>
        </w:rPr>
      </w:pPr>
      <w:r>
        <w:rPr>
          <w:sz w:val="22"/>
        </w:rPr>
        <w:t>Houston, Texas 77032</w:t>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Skipping Stone, Inc.</w:t>
      </w:r>
      <w:r>
        <w:rPr>
          <w:sz w:val="22"/>
        </w:rPr>
        <w:t xml:space="preserve">, a Delaware corporation, (“SSI”) and its affiliate </w:t>
      </w:r>
      <w:r>
        <w:rPr>
          <w:b/>
          <w:bCs/>
          <w:sz w:val="22"/>
        </w:rPr>
        <w:t>Capacity Center, Inc.</w:t>
      </w:r>
      <w:r>
        <w:rPr>
          <w:sz w:val="22"/>
        </w:rPr>
        <w:t>, a ______________ corporation (“CCI”) (SSI and CCI collectively referred to as "Seller") and</w:t>
      </w:r>
      <w:r>
        <w:rPr>
          <w:b/>
          <w:sz w:val="22"/>
        </w:rPr>
        <w:t xml:space="preserve"> Enron North America Corp.</w:t>
      </w:r>
      <w:r>
        <w:rPr>
          <w:sz w:val="22"/>
        </w:rPr>
        <w:t>, a Delaware corporation ("Buyer"), to evaluate the possibility of Buyer purchasing from Seller, various rights and source code for energy industry software that CCI refers to as the “Service Bureau”, the “Data Exchange”, and the “Historical Data Base” (the “Assets”)  more particularly described on Exhibit "A" attached hereto (the "Project").  Buyer and Seller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sz w:val="22"/>
        </w:rPr>
        <w:t>The Parties will meet to discuss the Project and the necessary agreements relating thereto.  Buyer may conduct a due diligence investigation regarding the Assets.  Seller will assist Buyer in such investigation and Seller will disclose to buyer all relevant information in Seller's possession pertaining thereto.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sz w:val="22"/>
        </w:rPr>
        <w:t xml:space="preserve">Neither Party is obligated hereunder to enter into any definitive agreement with the other, with respect to the Project.   </w:t>
      </w:r>
    </w:p>
    <w:p>
      <w:pPr>
        <w:pStyle w:val="Normal"/>
        <w:widowControl/>
        <w:numPr>
          <w:ilvl w:val="0"/>
          <w:numId w:val="2"/>
        </w:numPr>
        <w:spacing w:before="120" w:after="0"/>
        <w:ind w:firstLine="810" w:start="-90" w:end="0"/>
        <w:jc w:val="both"/>
        <w:rPr>
          <w:sz w:val="22"/>
        </w:rPr>
      </w:pPr>
      <w:r>
        <w:rPr>
          <w:sz w:val="22"/>
        </w:rPr>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3"/>
        </w:numPr>
        <w:tabs>
          <w:tab w:val="clear" w:pos="720"/>
        </w:tabs>
        <w:spacing w:before="120" w:after="0"/>
        <w:ind w:firstLine="720" w:start="0" w:end="0"/>
        <w:jc w:val="both"/>
        <w:rPr>
          <w:sz w:val="22"/>
        </w:rPr>
      </w:pPr>
      <w:r>
        <w:rPr>
          <w:b/>
          <w:smallCaps/>
          <w:sz w:val="22"/>
        </w:rPr>
        <w:t>Term</w:t>
      </w:r>
      <w:r>
        <w:rPr>
          <w:sz w:val="22"/>
        </w:rPr>
        <w:t>.  This Agreement shall be in force and effect beginning on the date execution of this Agreement by the Seller and ending on the date that is 90 days thereafter (the "Term").  The provisions of Section 3, Confidentiality, shall survive any termination of this Agreement, as necessary for them to expire according to their terms as expressed in that section.</w:t>
      </w:r>
    </w:p>
    <w:p>
      <w:pPr>
        <w:pStyle w:val="Normal"/>
        <w:widowControl/>
        <w:numPr>
          <w:ilvl w:val="0"/>
          <w:numId w:val="3"/>
        </w:numPr>
        <w:tabs>
          <w:tab w:val="clear" w:pos="720"/>
        </w:tabs>
        <w:spacing w:before="120" w:after="0"/>
        <w:ind w:firstLine="720" w:start="0" w:end="0"/>
        <w:jc w:val="both"/>
        <w:rPr>
          <w:sz w:val="22"/>
        </w:rPr>
      </w:pPr>
      <w:r>
        <w:rPr>
          <w:b/>
          <w:smallCaps/>
          <w:sz w:val="22"/>
        </w:rPr>
        <w:t>Exclusivity</w:t>
      </w:r>
      <w:r>
        <w:rPr>
          <w:sz w:val="22"/>
        </w:rPr>
        <w:t>.  In consideration of the efforts to be expended by Buyer in undertaking its due diligence review of the Assets, Seller hereby grants to Buyer, during the Term of this Agreement (the "Exclusivity Period") the exclusive right to pursue the Project with Seller.  During the Exclusivity Period Seller shall not work with any other persons with regard to the Project or other transaction involving the Assets.</w:t>
      </w:r>
    </w:p>
    <w:p>
      <w:pPr>
        <w:pStyle w:val="Normal"/>
        <w:widowControl/>
        <w:numPr>
          <w:ilvl w:val="0"/>
          <w:numId w:val="3"/>
        </w:numPr>
        <w:tabs>
          <w:tab w:val="clear" w:pos="720"/>
        </w:tabs>
        <w:spacing w:before="120" w:after="0"/>
        <w:ind w:firstLine="720" w:start="0" w:end="0"/>
        <w:jc w:val="both"/>
        <w:rPr>
          <w:sz w:val="22"/>
        </w:rPr>
      </w:pPr>
      <w:r>
        <w:rPr>
          <w:b/>
          <w:smallCaps/>
          <w:sz w:val="22"/>
        </w:rPr>
        <w:t>Confidentiality</w:t>
      </w:r>
      <w:r>
        <w:rPr>
          <w:sz w:val="22"/>
        </w:rPr>
        <w:t>.  All confidential information exchange between the Parties pursuant to this Agreement shall be subject to the terms of that certain Confidentiality Letter Agreement between SSI, CCI, and ENA dated February 21, 2001.</w:t>
      </w:r>
    </w:p>
    <w:p>
      <w:pPr>
        <w:pStyle w:val="Normal"/>
        <w:widowControl/>
        <w:numPr>
          <w:ilvl w:val="0"/>
          <w:numId w:val="3"/>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3"/>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3"/>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management, or other governing body, shall have approved the definitive agreement, (b) such Party shall have executed the definitive agreement, and (c) all conditions precedent to the effectiveness of any such definitive agreement shall have been satisfied, including the obtaining of any and all requisite federal and state regulatory orders or approvals which are satisfactory in form and substance to the Parties, if such approval is required.</w:t>
      </w:r>
    </w:p>
    <w:p>
      <w:pPr>
        <w:pStyle w:val="Normal"/>
        <w:widowControl/>
        <w:numPr>
          <w:ilvl w:val="0"/>
          <w:numId w:val="3"/>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3"/>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3"/>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3"/>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3"/>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3"/>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Buyer's sole, joint or concurrent negligence), but rather shall be liable only for direct actual damages arising from the breaching Party's willful breach or sole, joint or concurrent negligence.</w:t>
      </w:r>
    </w:p>
    <w:p>
      <w:pPr>
        <w:pStyle w:val="Normal"/>
        <w:widowControl/>
        <w:numPr>
          <w:ilvl w:val="0"/>
          <w:numId w:val="3"/>
        </w:numPr>
        <w:tabs>
          <w:tab w:val="clear" w:pos="720"/>
        </w:tabs>
        <w:spacing w:before="120" w:after="0"/>
        <w:ind w:firstLine="720" w:start="0" w:end="0"/>
        <w:jc w:val="both"/>
        <w:rPr>
          <w:sz w:val="22"/>
        </w:rPr>
      </w:pPr>
      <w:r>
        <w:rPr>
          <w:b/>
          <w:smallCaps/>
          <w:sz w:val="22"/>
        </w:rPr>
        <w:t>Assignment</w:t>
      </w:r>
      <w:r>
        <w:rPr>
          <w:sz w:val="22"/>
        </w:rPr>
        <w:t>.  Neither Party may assign this Agreement without the prior written approval of the other Party, which approval shall not be unreasonably withheld or delayed.  Notwithstanding the foregoing, however, Buyer may assign its obligations hereunder to any of its affiliates.</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Normal"/>
        <w:widowControl/>
        <w:spacing w:before="360" w:after="0"/>
        <w:ind w:start="5040" w:end="0"/>
        <w:jc w:val="both"/>
        <w:rPr>
          <w:b/>
          <w:bCs/>
          <w:sz w:val="22"/>
        </w:rPr>
      </w:pPr>
      <w:r>
        <w:rPr>
          <w:b/>
          <w:bCs/>
          <w:sz w:val="22"/>
        </w:rPr>
        <w:t>Enron North America Corp.</w:t>
      </w:r>
    </w:p>
    <w:p>
      <w:pPr>
        <w:pStyle w:val="Normal"/>
        <w:widowControl/>
        <w:tabs>
          <w:tab w:val="clear" w:pos="720"/>
          <w:tab w:val="left" w:pos="9360" w:leader="none"/>
        </w:tabs>
        <w:ind w:start="5040" w:end="0"/>
        <w:jc w:val="both"/>
        <w:rPr>
          <w:b/>
          <w:bCs/>
          <w:sz w:val="22"/>
        </w:rPr>
      </w:pPr>
      <w:r>
        <w:rPr>
          <w:b/>
          <w:bCs/>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u w:val="single"/>
        </w:rPr>
      </w:pPr>
      <w:r>
        <w:rPr>
          <w:b/>
          <w:sz w:val="22"/>
          <w:u w:val="single"/>
        </w:rPr>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May, 2001.</w:t>
      </w:r>
    </w:p>
    <w:p>
      <w:pPr>
        <w:pStyle w:val="Normal"/>
        <w:widowControl/>
        <w:spacing w:before="240" w:after="0"/>
        <w:jc w:val="both"/>
        <w:rPr>
          <w:b/>
          <w:sz w:val="22"/>
        </w:rPr>
      </w:pPr>
      <w:r>
        <w:rPr>
          <w:b/>
          <w:sz w:val="22"/>
        </w:rPr>
      </w:r>
    </w:p>
    <w:p>
      <w:pPr>
        <w:pStyle w:val="Normal"/>
        <w:widowControl/>
        <w:spacing w:before="240" w:after="0"/>
        <w:jc w:val="both"/>
        <w:rPr>
          <w:b/>
          <w:sz w:val="22"/>
        </w:rPr>
      </w:pPr>
      <w:r>
        <w:rPr>
          <w:b/>
          <w:sz w:val="22"/>
        </w:rPr>
        <w:t>Skipping Stone,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spacing w:before="240" w:after="0"/>
        <w:jc w:val="both"/>
        <w:rPr>
          <w:b/>
          <w:sz w:val="22"/>
        </w:rPr>
      </w:pPr>
      <w:r>
        <w:rPr>
          <w:b/>
          <w:sz w:val="22"/>
        </w:rPr>
        <w:t>Capacity Center, Inc.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p>
      <w:pPr>
        <w:pStyle w:val="Normal"/>
        <w:widowControl/>
        <w:tabs>
          <w:tab w:val="clear" w:pos="720"/>
          <w:tab w:val="left" w:pos="4320" w:leader="none"/>
        </w:tabs>
        <w:jc w:val="both"/>
        <w:rPr>
          <w:sz w:val="22"/>
          <w:u w:val="single"/>
        </w:rPr>
      </w:pPr>
      <w:r>
        <w:rPr>
          <w:sz w:val="22"/>
          <w:u w:val="single"/>
        </w:rPr>
      </w:r>
    </w:p>
    <w:p>
      <w:pPr>
        <w:pStyle w:val="Normal"/>
        <w:widowControl/>
        <w:tabs>
          <w:tab w:val="clear" w:pos="720"/>
          <w:tab w:val="left" w:pos="4320" w:leader="none"/>
        </w:tabs>
        <w:jc w:val="both"/>
        <w:rPr>
          <w:sz w:val="22"/>
          <w:u w:val="single"/>
        </w:rPr>
      </w:pPr>
      <w:r>
        <w:rPr>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/mnt/main-storage/datasets/enron-docs/doc/SkippingStoneLOI.doc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/mnt/main-storage/datasets/enron-docs/doc/SkippingStoneLOI.doc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Skipping Stone, Inc.</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May 9,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2001-05-08T19:47:00Z</dcterms:created>
  <dc:creator>ECT</dc:creator>
  <dc:description/>
  <dc:language>en-CA</dc:language>
  <cp:lastModifiedBy>gnemec</cp:lastModifiedBy>
  <cp:lastPrinted>2001-05-08T18:26:00Z</cp:lastPrinted>
  <dcterms:modified xsi:type="dcterms:W3CDTF">2001-05-09T12:30:00Z</dcterms:modified>
  <cp:revision>10</cp:revision>
  <dc:subject/>
  <dc:title>[ECT Letterhead]</dc:title>
</cp:coreProperties>
</file>