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pPr>
            <w:r>
              <w:rPr/>
              <w:drawing>
                <wp:inline distT="0" distB="0" distL="0" distR="0">
                  <wp:extent cx="868680" cy="8521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8" t="-18" r="-18" b="-18"/>
                          <a:stretch>
                            <a:fillRect/>
                          </a:stretch>
                        </pic:blipFill>
                        <pic:spPr bwMode="auto">
                          <a:xfrm>
                            <a:off x="0" y="0"/>
                            <a:ext cx="868680" cy="852170"/>
                          </a:xfrm>
                          <a:prstGeom prst="rect">
                            <a:avLst/>
                          </a:prstGeom>
                          <a:noFill/>
                        </pic:spPr>
                      </pic:pic>
                    </a:graphicData>
                  </a:graphic>
                </wp:inline>
              </w:drawing>
            </w:r>
          </w:p>
          <w:p>
            <w:pPr>
              <w:pStyle w:val="Normal"/>
              <w:spacing w:lineRule="atLeast" w:line="240"/>
              <w:jc w:val="center"/>
              <w:rPr>
                <w:rFonts w:ascii="Helv;Arial" w:hAnsi="Helv;Arial" w:cs="Helv;Arial"/>
                <w:b/>
                <w:color w:val="000000"/>
                <w:sz w:val="24"/>
                <w:lang w:eastAsia="en-US"/>
              </w:rPr>
            </w:pPr>
            <w:r>
              <w:rPr>
                <w:rFonts w:cs="Helv;Arial" w:ascii="Helv;Arial" w:hAnsi="Helv;Arial"/>
                <w:b/>
                <w:color w:val="000000"/>
                <w:sz w:val="24"/>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Heading1"/>
              <w:ind w:hanging="0" w:start="0"/>
              <w:rPr>
                <w:sz w:val="28"/>
              </w:rPr>
            </w:pPr>
            <w:r>
              <w:rPr>
                <w:sz w:val="28"/>
              </w:rPr>
              <w:t>DON REID</w:t>
            </w:r>
          </w:p>
          <w:p>
            <w:pPr>
              <w:pStyle w:val="Normal"/>
              <w:spacing w:lineRule="atLeast" w:line="240"/>
              <w:jc w:val="center"/>
              <w:rPr>
                <w:rFonts w:ascii="Helv;Arial" w:hAnsi="Helv;Arial" w:cs="Helv;Arial"/>
                <w:b/>
                <w:color w:val="000000"/>
                <w:sz w:val="28"/>
                <w:lang w:eastAsia="en-US"/>
              </w:rPr>
            </w:pPr>
            <w:r>
              <w:rPr>
                <w:rFonts w:cs="Helv;Arial" w:ascii="Helv;Arial" w:hAnsi="Helv;Arial"/>
                <w:b/>
                <w:color w:val="000000"/>
                <w:sz w:val="28"/>
                <w:lang w:eastAsia="en-US"/>
              </w:rPr>
              <w:t>SKILL AND ACCOMPLISHMENTS PROFILE</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center"/>
              <w:rPr>
                <w:rFonts w:ascii="Helv;Arial" w:hAnsi="Helv;Arial" w:cs="Helv;Arial"/>
                <w:b/>
                <w:color w:val="000000"/>
                <w:sz w:val="24"/>
                <w:lang w:eastAsia="en-US"/>
              </w:rPr>
            </w:pPr>
            <w:r>
              <w:rPr>
                <w:rFonts w:cs="Helv;Arial" w:ascii="Helv;Arial" w:hAnsi="Helv;Arial"/>
                <w:b/>
                <w:color w:val="000000"/>
                <w:sz w:val="24"/>
                <w:lang w:eastAsia="en-US"/>
              </w:rPr>
            </w:r>
          </w:p>
          <w:p>
            <w:pPr>
              <w:pStyle w:val="Normal"/>
              <w:spacing w:lineRule="atLeast" w:line="240"/>
              <w:jc w:val="center"/>
              <w:rPr>
                <w:rFonts w:ascii="Helv;Arial" w:hAnsi="Helv;Arial" w:cs="Helv;Arial"/>
                <w:b/>
                <w:color w:val="000000"/>
                <w:sz w:val="24"/>
                <w:lang w:eastAsia="en-US"/>
              </w:rPr>
            </w:pPr>
            <w:r>
              <w:rPr>
                <w:rFonts w:cs="Helv;Arial" w:ascii="Helv;Arial" w:hAnsi="Helv;Arial"/>
                <w:b/>
                <w:color w:val="000000"/>
                <w:sz w:val="24"/>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lang w:eastAsia="en-US"/>
              </w:rPr>
            </w:pPr>
            <w:r>
              <w:rPr>
                <w:rFonts w:cs="Helv;Arial" w:ascii="Helv;Arial" w:hAnsi="Helv;Arial"/>
                <w:b/>
                <w:color w:val="000000"/>
                <w:highlight w:val="yellow"/>
                <w:lang w:eastAsia="en-US"/>
              </w:rPr>
              <w:t xml:space="preserve">Proven origination, </w:t>
            </w:r>
            <w:r>
              <w:rPr>
                <w:rFonts w:cs="Helv;Arial" w:ascii="Helv;Arial" w:hAnsi="Helv;Arial"/>
                <w:color w:val="000000"/>
                <w:lang w:eastAsia="en-US"/>
              </w:rPr>
              <w:t>finance, structuring, negotiating, investment banking and business</w:t>
            </w:r>
          </w:p>
          <w:p>
            <w:pPr>
              <w:pStyle w:val="Normal"/>
              <w:spacing w:lineRule="atLeast" w:line="240"/>
              <w:rPr/>
            </w:pPr>
            <w:r>
              <w:rPr>
                <w:rFonts w:eastAsia="Helv;Arial" w:cs="Helv;Arial" w:ascii="Helv;Arial" w:hAnsi="Helv;Arial"/>
                <w:b/>
                <w:color w:val="000000"/>
                <w:lang w:eastAsia="en-US"/>
              </w:rPr>
              <w:t xml:space="preserve">     </w:t>
            </w:r>
            <w:r>
              <w:rPr>
                <w:rFonts w:eastAsia="Helv;Arial" w:cs="Helv;Arial" w:ascii="Helv;Arial" w:hAnsi="Helv;Arial"/>
                <w:color w:val="000000"/>
                <w:lang w:eastAsia="en-US"/>
              </w:rPr>
              <w:t xml:space="preserve"> </w:t>
            </w:r>
            <w:r>
              <w:rPr>
                <w:rFonts w:cs="Helv;Arial" w:ascii="Helv;Arial" w:hAnsi="Helv;Arial"/>
                <w:color w:val="000000"/>
                <w:lang w:eastAsia="en-US"/>
              </w:rPr>
              <w:t xml:space="preserve">development skills. </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left" w:pos="720" w:leader="none"/>
              </w:tabs>
              <w:spacing w:lineRule="atLeast" w:line="240"/>
              <w:ind w:hanging="0" w:start="0" w:end="0"/>
              <w:rPr>
                <w:rFonts w:ascii="Helv;Arial" w:hAnsi="Helv;Arial" w:cs="Helv;Arial"/>
                <w:color w:val="000000"/>
                <w:lang w:eastAsia="en-US"/>
              </w:rPr>
            </w:pPr>
            <w:r>
              <w:rPr>
                <w:rFonts w:cs="Helv;Arial" w:ascii="Helv;Arial" w:hAnsi="Helv;Arial"/>
                <w:i/>
                <w:color w:val="000000"/>
                <w:lang w:eastAsia="en-US"/>
              </w:rPr>
              <w:t>Example 1</w:t>
            </w:r>
            <w:r>
              <w:rPr>
                <w:rFonts w:cs="Helv;Arial" w:ascii="Helv;Arial" w:hAnsi="Helv;Arial"/>
                <w:b/>
                <w:color w:val="000000"/>
                <w:lang w:eastAsia="en-US"/>
              </w:rPr>
              <w:t>:</w:t>
            </w:r>
            <w:r>
              <w:rPr>
                <w:rFonts w:cs="Helv;Arial" w:ascii="Helv;Arial" w:hAnsi="Helv;Arial"/>
                <w:color w:val="000000"/>
                <w:lang w:eastAsia="en-US"/>
              </w:rPr>
              <w:t xml:space="preserve"> Structured, originated and agented over $2 billion in complex, corporate </w:t>
            </w:r>
          </w:p>
          <w:p>
            <w:pPr>
              <w:pStyle w:val="Normal"/>
              <w:spacing w:lineRule="atLeast" w:line="240"/>
              <w:ind w:start="720" w:end="0"/>
              <w:rPr>
                <w:rFonts w:ascii="Helv;Arial" w:hAnsi="Helv;Arial" w:cs="Helv;Arial"/>
                <w:color w:val="000000"/>
                <w:lang w:eastAsia="en-US"/>
              </w:rPr>
            </w:pPr>
            <w:r>
              <w:rPr>
                <w:rFonts w:cs="Helv;Arial" w:ascii="Helv;Arial" w:hAnsi="Helv;Arial"/>
                <w:color w:val="000000"/>
                <w:lang w:eastAsia="en-US"/>
              </w:rPr>
              <w:t>credits with Fortune 500 businesses, involving close interaction and negotiations with key corporate officers to include CFOs and Presidents.   Funding participants in the transactions involved the nation’s largest financial institutions such as Merrill Lynch, Chase, Citibank, and Bank of America.</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left" w:pos="720" w:leader="none"/>
              </w:tabs>
              <w:spacing w:lineRule="atLeast" w:line="240"/>
              <w:ind w:hanging="0" w:start="0" w:end="0"/>
              <w:rPr>
                <w:rFonts w:ascii="Helv;Arial" w:hAnsi="Helv;Arial" w:cs="Helv;Arial"/>
                <w:color w:val="000000"/>
                <w:lang w:eastAsia="en-US"/>
              </w:rPr>
            </w:pPr>
            <w:r>
              <w:rPr>
                <w:rFonts w:cs="Helv;Arial" w:ascii="Helv;Arial" w:hAnsi="Helv;Arial"/>
                <w:i/>
                <w:color w:val="000000"/>
                <w:lang w:eastAsia="en-US"/>
              </w:rPr>
              <w:t>Example 2</w:t>
            </w:r>
            <w:r>
              <w:rPr>
                <w:rFonts w:cs="Helv;Arial" w:ascii="Helv;Arial" w:hAnsi="Helv;Arial"/>
                <w:b/>
                <w:color w:val="000000"/>
                <w:lang w:eastAsia="en-US"/>
              </w:rPr>
              <w:t>:</w:t>
            </w:r>
            <w:r>
              <w:rPr>
                <w:rFonts w:cs="Helv;Arial" w:ascii="Helv;Arial" w:hAnsi="Helv;Arial"/>
                <w:color w:val="000000"/>
                <w:lang w:eastAsia="en-US"/>
              </w:rPr>
              <w:t xml:space="preserve"> Created a financing business at a major business unit of Enron Corporation</w:t>
            </w:r>
          </w:p>
          <w:p>
            <w:pPr>
              <w:pStyle w:val="Normal"/>
              <w:spacing w:lineRule="atLeast" w:line="240"/>
              <w:rPr>
                <w:rFonts w:ascii="Helv;Arial" w:hAnsi="Helv;Arial" w:cs="Helv;Arial"/>
                <w:color w:val="000000"/>
                <w:lang w:eastAsia="en-US"/>
              </w:rPr>
            </w:pPr>
            <w:r>
              <w:rPr>
                <w:rFonts w:eastAsia="Helv;Arial" w:cs="Helv;Arial" w:ascii="Helv;Arial" w:hAnsi="Helv;Arial"/>
                <w:i/>
                <w:color w:val="000000"/>
                <w:lang w:eastAsia="en-US"/>
              </w:rPr>
              <w:t xml:space="preserve">           </w:t>
            </w:r>
            <w:r>
              <w:rPr>
                <w:rFonts w:eastAsia="Helv;Arial" w:cs="Helv;Arial" w:ascii="Helv;Arial" w:hAnsi="Helv;Arial"/>
                <w:color w:val="000000"/>
                <w:lang w:eastAsia="en-US"/>
              </w:rPr>
              <w:t xml:space="preserve"> </w:t>
            </w:r>
            <w:r>
              <w:rPr>
                <w:rFonts w:cs="Helv;Arial" w:ascii="Helv;Arial" w:hAnsi="Helv;Arial"/>
                <w:color w:val="000000"/>
                <w:lang w:eastAsia="en-US"/>
              </w:rPr>
              <w:t xml:space="preserve">that generated </w:t>
            </w:r>
            <w:r>
              <w:rPr>
                <w:rFonts w:cs="Helv;Arial" w:ascii="Helv;Arial" w:hAnsi="Helv;Arial"/>
                <w:b/>
                <w:color w:val="000000"/>
                <w:highlight w:val="yellow"/>
                <w:lang w:eastAsia="en-US"/>
              </w:rPr>
              <w:t>$12 million in profits</w:t>
            </w:r>
            <w:r>
              <w:rPr>
                <w:rFonts w:cs="Helv;Arial" w:ascii="Helv;Arial" w:hAnsi="Helv;Arial"/>
                <w:color w:val="000000"/>
                <w:highlight w:val="yellow"/>
                <w:lang w:eastAsia="en-US"/>
              </w:rPr>
              <w:t>.</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lang w:eastAsia="en-US"/>
              </w:rPr>
            </w:pPr>
            <w:r>
              <w:rPr>
                <w:rFonts w:cs="Helv;Arial" w:ascii="Helv;Arial" w:hAnsi="Helv;Arial"/>
                <w:b/>
                <w:color w:val="000000"/>
                <w:lang w:eastAsia="en-US"/>
              </w:rPr>
              <w:t>Launched a</w:t>
            </w:r>
            <w:r>
              <w:rPr>
                <w:rFonts w:cs="Helv;Arial" w:ascii="Helv;Arial" w:hAnsi="Helv;Arial"/>
                <w:color w:val="000000"/>
                <w:lang w:eastAsia="en-US"/>
              </w:rPr>
              <w:t xml:space="preserve"> </w:t>
            </w:r>
            <w:r>
              <w:rPr>
                <w:rFonts w:cs="Helv;Arial" w:ascii="Helv;Arial" w:hAnsi="Helv;Arial"/>
                <w:b/>
                <w:color w:val="000000"/>
                <w:lang w:eastAsia="en-US"/>
              </w:rPr>
              <w:t>successful Investment Banking Business</w:t>
            </w:r>
            <w:r>
              <w:rPr>
                <w:rFonts w:cs="Helv;Arial" w:ascii="Helv;Arial" w:hAnsi="Helv;Arial"/>
                <w:color w:val="000000"/>
                <w:lang w:eastAsia="en-US"/>
              </w:rPr>
              <w:t xml:space="preserve">, Global </w:t>
            </w:r>
          </w:p>
          <w:p>
            <w:pPr>
              <w:pStyle w:val="Normal"/>
              <w:spacing w:lineRule="atLeast" w:line="240"/>
              <w:rPr>
                <w:rFonts w:ascii="Helv;Arial" w:hAnsi="Helv;Arial" w:cs="Helv;Arial"/>
                <w:color w:val="000000"/>
                <w:lang w:eastAsia="en-US"/>
              </w:rPr>
            </w:pPr>
            <w:r>
              <w:rPr>
                <w:rFonts w:eastAsia="Helv;Arial" w:cs="Helv;Arial" w:ascii="Helv;Arial" w:hAnsi="Helv;Arial"/>
                <w:color w:val="000000"/>
                <w:lang w:eastAsia="en-US"/>
              </w:rPr>
              <w:t xml:space="preserve">      </w:t>
            </w:r>
            <w:r>
              <w:rPr>
                <w:rFonts w:cs="Helv;Arial" w:ascii="Helv;Arial" w:hAnsi="Helv;Arial"/>
                <w:color w:val="000000"/>
                <w:lang w:eastAsia="en-US"/>
              </w:rPr>
              <w:t>Finance Corporation, prior to joining Enron.</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lang w:eastAsia="en-US"/>
              </w:rPr>
            </w:pPr>
            <w:r>
              <w:rPr>
                <w:rFonts w:cs="Helv;Arial" w:ascii="Helv;Arial" w:hAnsi="Helv;Arial"/>
                <w:b/>
                <w:color w:val="000000"/>
                <w:lang w:eastAsia="en-US"/>
              </w:rPr>
              <w:t>Developed and executed a new business development plan</w:t>
            </w:r>
            <w:r>
              <w:rPr>
                <w:rFonts w:cs="Helv;Arial" w:ascii="Helv;Arial" w:hAnsi="Helv;Arial"/>
                <w:color w:val="000000"/>
                <w:lang w:eastAsia="en-US"/>
              </w:rPr>
              <w:t xml:space="preserve"> for a major multinational </w:t>
            </w:r>
          </w:p>
          <w:p>
            <w:pPr>
              <w:pStyle w:val="Normal"/>
              <w:spacing w:lineRule="atLeast" w:line="240"/>
              <w:rPr/>
            </w:pPr>
            <w:r>
              <w:rPr>
                <w:rFonts w:eastAsia="Helv;Arial" w:cs="Helv;Arial" w:ascii="Helv;Arial" w:hAnsi="Helv;Arial"/>
                <w:b/>
                <w:color w:val="000000"/>
                <w:lang w:eastAsia="en-US"/>
              </w:rPr>
              <w:t xml:space="preserve">       </w:t>
            </w:r>
            <w:r>
              <w:rPr>
                <w:rFonts w:cs="Helv;Arial" w:ascii="Helv;Arial" w:hAnsi="Helv;Arial"/>
                <w:color w:val="000000"/>
                <w:lang w:eastAsia="en-US"/>
              </w:rPr>
              <w:t>bank that increased new business by $2.7 billion, entailing the delivery</w:t>
            </w:r>
          </w:p>
          <w:p>
            <w:pPr>
              <w:pStyle w:val="Normal"/>
              <w:spacing w:lineRule="atLeast" w:line="240"/>
              <w:rPr>
                <w:rFonts w:ascii="Helv;Arial" w:hAnsi="Helv;Arial" w:cs="Helv;Arial"/>
                <w:color w:val="000000"/>
                <w:lang w:eastAsia="en-US"/>
              </w:rPr>
            </w:pPr>
            <w:r>
              <w:rPr>
                <w:rFonts w:eastAsia="Helv;Arial" w:cs="Helv;Arial" w:ascii="Helv;Arial" w:hAnsi="Helv;Arial"/>
                <w:color w:val="000000"/>
                <w:lang w:eastAsia="en-US"/>
              </w:rPr>
              <w:t xml:space="preserve">       </w:t>
            </w:r>
            <w:r>
              <w:rPr>
                <w:rFonts w:cs="Helv;Arial" w:ascii="Helv;Arial" w:hAnsi="Helv;Arial"/>
                <w:color w:val="000000"/>
                <w:lang w:eastAsia="en-US"/>
              </w:rPr>
              <w:t xml:space="preserve">of a wide range of investment and corporate banking products. </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lang w:eastAsia="en-US"/>
              </w:rPr>
            </w:pPr>
            <w:r>
              <w:rPr>
                <w:rFonts w:cs="Helv;Arial" w:ascii="Helv;Arial" w:hAnsi="Helv;Arial"/>
                <w:b/>
                <w:color w:val="000000"/>
                <w:lang w:eastAsia="en-US"/>
              </w:rPr>
              <w:t>Strong client relationship skills</w:t>
            </w:r>
            <w:r>
              <w:rPr>
                <w:rFonts w:cs="Helv;Arial" w:ascii="Helv;Arial" w:hAnsi="Helv;Arial"/>
                <w:color w:val="000000"/>
                <w:lang w:eastAsia="en-US"/>
              </w:rPr>
              <w:t xml:space="preserve"> fine-tuned over a 20-year period of business </w:t>
            </w:r>
          </w:p>
          <w:p>
            <w:pPr>
              <w:pStyle w:val="Normal"/>
              <w:spacing w:lineRule="atLeast" w:line="240"/>
              <w:rPr/>
            </w:pPr>
            <w:r>
              <w:rPr>
                <w:rFonts w:eastAsia="Helv;Arial" w:cs="Helv;Arial" w:ascii="Helv;Arial" w:hAnsi="Helv;Arial"/>
                <w:b/>
                <w:color w:val="000000"/>
                <w:lang w:eastAsia="en-US"/>
              </w:rPr>
              <w:t xml:space="preserve">      </w:t>
            </w:r>
            <w:r>
              <w:rPr>
                <w:rFonts w:cs="Helv;Arial" w:ascii="Helv;Arial" w:hAnsi="Helv;Arial"/>
                <w:color w:val="000000"/>
                <w:lang w:eastAsia="en-US"/>
              </w:rPr>
              <w:t xml:space="preserve">development.  Enron examples: Bethlehem Steel and Tribasa. </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lang w:eastAsia="en-US"/>
              </w:rPr>
            </w:pPr>
            <w:r>
              <w:rPr>
                <w:rFonts w:cs="Helv;Arial" w:ascii="Helv;Arial" w:hAnsi="Helv;Arial"/>
                <w:b/>
                <w:color w:val="000000"/>
                <w:lang w:eastAsia="en-US"/>
              </w:rPr>
              <w:t>Industry expertise</w:t>
            </w:r>
            <w:r>
              <w:rPr>
                <w:rFonts w:cs="Helv;Arial" w:ascii="Helv;Arial" w:hAnsi="Helv;Arial"/>
                <w:color w:val="000000"/>
                <w:lang w:eastAsia="en-US"/>
              </w:rPr>
              <w:t xml:space="preserve">. Over 15 yrs. experience in energy, utilities, IPPs and related regulatory </w:t>
            </w:r>
          </w:p>
          <w:p>
            <w:pPr>
              <w:pStyle w:val="Normal"/>
              <w:spacing w:lineRule="atLeast" w:line="240"/>
              <w:rPr/>
            </w:pPr>
            <w:r>
              <w:rPr>
                <w:rFonts w:eastAsia="Helv;Arial" w:cs="Helv;Arial" w:ascii="Helv;Arial" w:hAnsi="Helv;Arial"/>
                <w:b/>
                <w:color w:val="000000"/>
                <w:lang w:eastAsia="en-US"/>
              </w:rPr>
              <w:t xml:space="preserve">      </w:t>
            </w:r>
            <w:r>
              <w:rPr>
                <w:rFonts w:cs="Helv;Arial" w:ascii="Helv;Arial" w:hAnsi="Helv;Arial"/>
                <w:color w:val="000000"/>
                <w:lang w:eastAsia="en-US"/>
              </w:rPr>
              <w:t xml:space="preserve">bodies. </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lang w:eastAsia="en-US"/>
              </w:rPr>
            </w:pPr>
            <w:r>
              <w:rPr>
                <w:rFonts w:cs="Helv;Arial" w:ascii="Helv;Arial" w:hAnsi="Helv;Arial"/>
                <w:b/>
                <w:color w:val="000000"/>
                <w:lang w:eastAsia="en-US"/>
              </w:rPr>
              <w:t>Demonstrated effectiveness</w:t>
            </w:r>
            <w:r>
              <w:rPr>
                <w:rFonts w:cs="Helv;Arial" w:ascii="Helv;Arial" w:hAnsi="Helv;Arial"/>
                <w:color w:val="000000"/>
                <w:lang w:eastAsia="en-US"/>
              </w:rPr>
              <w:t xml:space="preserve"> at mobilizing internal resources to get the job done.  </w:t>
            </w:r>
          </w:p>
          <w:p>
            <w:pPr>
              <w:pStyle w:val="Normal"/>
              <w:spacing w:lineRule="atLeast" w:line="240"/>
              <w:rPr/>
            </w:pPr>
            <w:r>
              <w:rPr>
                <w:rFonts w:eastAsia="Helv;Arial" w:cs="Helv;Arial" w:ascii="Helv;Arial" w:hAnsi="Helv;Arial"/>
                <w:b/>
                <w:color w:val="000000"/>
                <w:lang w:eastAsia="en-US"/>
              </w:rPr>
              <w:t xml:space="preserve">      </w:t>
            </w:r>
            <w:r>
              <w:rPr>
                <w:rFonts w:cs="Helv;Arial" w:ascii="Helv;Arial" w:hAnsi="Helv;Arial"/>
                <w:color w:val="000000"/>
                <w:lang w:eastAsia="en-US"/>
              </w:rPr>
              <w:t xml:space="preserve">Examples:  Achieved getting the Bethlehem Steel and Tribasa transactions approved, </w:t>
            </w:r>
          </w:p>
          <w:p>
            <w:pPr>
              <w:pStyle w:val="Normal"/>
              <w:spacing w:lineRule="atLeast" w:line="240"/>
              <w:rPr>
                <w:rFonts w:ascii="Helv;Arial" w:hAnsi="Helv;Arial" w:cs="Helv;Arial"/>
                <w:color w:val="000000"/>
                <w:lang w:eastAsia="en-US"/>
              </w:rPr>
            </w:pPr>
            <w:r>
              <w:rPr>
                <w:rFonts w:eastAsia="Helv;Arial" w:cs="Helv;Arial" w:ascii="Helv;Arial" w:hAnsi="Helv;Arial"/>
                <w:color w:val="000000"/>
                <w:lang w:eastAsia="en-US"/>
              </w:rPr>
              <w:t xml:space="preserve">      </w:t>
            </w:r>
            <w:r>
              <w:rPr>
                <w:rFonts w:cs="Helv;Arial" w:ascii="Helv;Arial" w:hAnsi="Helv;Arial"/>
                <w:color w:val="000000"/>
                <w:lang w:eastAsia="en-US"/>
              </w:rPr>
              <w:t xml:space="preserve">extended and restructured - both were challenging and complex. </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lang w:eastAsia="en-US"/>
              </w:rPr>
            </w:pPr>
            <w:r>
              <w:rPr>
                <w:rFonts w:cs="Helv;Arial" w:ascii="Helv;Arial" w:hAnsi="Helv;Arial"/>
                <w:b/>
                <w:color w:val="000000"/>
                <w:lang w:eastAsia="en-US"/>
              </w:rPr>
              <w:t xml:space="preserve">Multicultural </w:t>
            </w:r>
            <w:r>
              <w:rPr>
                <w:rFonts w:cs="Helv;Arial" w:ascii="Helv;Arial" w:hAnsi="Helv;Arial"/>
                <w:color w:val="000000"/>
                <w:lang w:eastAsia="en-US"/>
              </w:rPr>
              <w:t xml:space="preserve">- Lived in Argentina and speak Spanish. </w:t>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Helv;Arial" w:hAnsi="Helv;Arial" w:cs="Helv;Arial"/>
                <w:color w:val="000000"/>
                <w:lang w:eastAsia="en-US"/>
              </w:rPr>
            </w:pPr>
            <w:r>
              <w:rPr>
                <w:rFonts w:cs="Helv;Arial" w:ascii="Helv;Arial" w:hAnsi="Helv;Arial"/>
                <w:color w:val="000000"/>
                <w:lang w:eastAsia="en-US"/>
              </w:rPr>
            </w:r>
          </w:p>
        </w:tc>
      </w:tr>
      <w:tr>
        <w:trPr/>
        <w:tc>
          <w:tcPr>
            <w:tcW w:w="9576"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tLeast" w:line="240"/>
              <w:ind w:hanging="0" w:start="0" w:end="0"/>
              <w:rPr>
                <w:rFonts w:ascii="Helv;Arial" w:hAnsi="Helv;Arial" w:cs="Helv;Arial"/>
                <w:color w:val="000000"/>
                <w:u w:val="single"/>
                <w:lang w:eastAsia="en-US"/>
              </w:rPr>
            </w:pPr>
            <w:r>
              <w:rPr>
                <w:rFonts w:cs="Helv;Arial" w:ascii="Helv;Arial" w:hAnsi="Helv;Arial"/>
                <w:b/>
                <w:color w:val="000000"/>
                <w:lang w:eastAsia="en-US"/>
              </w:rPr>
              <w:t>A Deal Closer and Producer</w:t>
            </w:r>
            <w:r>
              <w:rPr>
                <w:rFonts w:cs="Helv;Arial" w:ascii="Helv;Arial" w:hAnsi="Helv;Arial"/>
                <w:color w:val="000000"/>
                <w:lang w:eastAsia="en-US"/>
              </w:rPr>
              <w:t xml:space="preserve"> - Second largest IBIT earner in the Third Party Business   </w:t>
            </w:r>
          </w:p>
          <w:p>
            <w:pPr>
              <w:pStyle w:val="Normal"/>
              <w:spacing w:lineRule="atLeast" w:line="240"/>
              <w:rPr/>
            </w:pPr>
            <w:r>
              <w:rPr>
                <w:rFonts w:eastAsia="Helv;Arial" w:cs="Helv;Arial" w:ascii="Helv;Arial" w:hAnsi="Helv;Arial"/>
                <w:color w:val="000000"/>
                <w:lang w:eastAsia="en-US"/>
              </w:rPr>
              <w:t xml:space="preserve">      </w:t>
            </w:r>
            <w:r>
              <w:rPr>
                <w:rFonts w:cs="Helv;Arial" w:ascii="Helv;Arial" w:hAnsi="Helv;Arial"/>
                <w:color w:val="000000"/>
                <w:lang w:eastAsia="en-US"/>
              </w:rPr>
              <w:t xml:space="preserve">Development Group at Enron EECC </w:t>
            </w:r>
            <w:r>
              <w:rPr>
                <w:rFonts w:cs="Helv;Arial" w:ascii="Helv;Arial" w:hAnsi="Helv;Arial"/>
                <w:color w:val="000000"/>
                <w:u w:val="single"/>
                <w:lang w:eastAsia="en-US"/>
              </w:rPr>
              <w:t xml:space="preserve">for two years in a row </w:t>
            </w:r>
            <w:r>
              <w:rPr>
                <w:rFonts w:cs="Helv;Arial" w:ascii="Helv;Arial" w:hAnsi="Helv;Arial"/>
                <w:color w:val="000000"/>
                <w:lang w:eastAsia="en-US"/>
              </w:rPr>
              <w:t xml:space="preserve"> after NEPCO, a wholly owned   </w:t>
            </w:r>
          </w:p>
          <w:p>
            <w:pPr>
              <w:pStyle w:val="Normal"/>
              <w:spacing w:lineRule="atLeast" w:line="240"/>
              <w:rPr>
                <w:rFonts w:ascii="Helv;Arial" w:hAnsi="Helv;Arial" w:cs="Helv;Arial"/>
                <w:color w:val="000000"/>
                <w:lang w:eastAsia="en-US"/>
              </w:rPr>
            </w:pPr>
            <w:r>
              <w:rPr>
                <w:rFonts w:eastAsia="Helv;Arial" w:cs="Helv;Arial" w:ascii="Helv;Arial" w:hAnsi="Helv;Arial"/>
                <w:color w:val="000000"/>
                <w:lang w:eastAsia="en-US"/>
              </w:rPr>
              <w:t xml:space="preserve">      </w:t>
            </w:r>
            <w:r>
              <w:rPr>
                <w:rFonts w:cs="Helv;Arial" w:ascii="Helv;Arial" w:hAnsi="Helv;Arial"/>
                <w:color w:val="000000"/>
                <w:lang w:eastAsia="en-US"/>
              </w:rPr>
              <w:t>construction subsidiary.</w:t>
            </w:r>
          </w:p>
        </w:tc>
      </w:tr>
    </w:tbl>
    <w:p>
      <w:pPr>
        <w:pStyle w:val="Header"/>
        <w:tabs>
          <w:tab w:val="clear" w:pos="4320"/>
          <w:tab w:val="clear" w:pos="8640"/>
        </w:tabs>
        <w:rPr/>
      </w:pPr>
      <w:r>
        <w:rPr/>
      </w:r>
    </w:p>
    <w:sectPr>
      <w:type w:val="nextPage"/>
      <w:pgSz w:w="12240" w:h="15840"/>
      <w:pgMar w:left="1728" w:right="1728" w:gutter="0" w:header="0" w:top="1728"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rFonts w:ascii="Helv;Arial" w:hAnsi="Helv;Arial" w:cs="Helv;Arial"/>
      <w:b/>
      <w:color w:val="000000"/>
      <w:sz w:val="26"/>
      <w:lang w:eastAsia="en-US"/>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nvelopeReturn">
    <w:name w:val="envelope return"/>
    <w:basedOn w:val="Normal"/>
    <w:qFormat/>
    <w:pPr/>
    <w:rPr>
      <w:b/>
      <w:sz w:val="22"/>
    </w:rPr>
  </w:style>
  <w:style w:type="paragraph" w:styleId="EnvelopeAddress">
    <w:name w:val="envelope address"/>
    <w:basedOn w:val="Normal"/>
    <w:qFormat/>
    <w:pPr>
      <w:ind w:hanging="0" w:start="720"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2001-02-15T12:39:00Z</dcterms:created>
  <dc:creator>ENRON ENGINEERING &amp; CONSTRUCTION</dc:creator>
  <dc:description/>
  <dc:language>en-CA</dc:language>
  <cp:lastModifiedBy>ENRON ENGINEERING &amp; CONSTRUCTION</cp:lastModifiedBy>
  <dcterms:modified xsi:type="dcterms:W3CDTF">2001-03-14T19:02:00Z</dcterms:modified>
  <cp:revision>5</cp:revision>
  <dc:subject/>
  <dc:title> </dc:title>
</cp:coreProperties>
</file>