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double"/>
        </w:rPr>
      </w:pPr>
      <w:r>
        <w:rPr>
          <w:b/>
          <w:u w:val="double"/>
        </w:rPr>
        <w:t>DRAFT 08/28/00</w:t>
      </w:r>
    </w:p>
    <w:p>
      <w:pPr>
        <w:pStyle w:val="Normal"/>
        <w:widowControl/>
        <w:jc w:val="end"/>
        <w:rPr/>
      </w:pPr>
      <w:r>
        <w:rPr/>
      </w:r>
    </w:p>
    <w:p>
      <w:pPr>
        <w:pStyle w:val="Normal"/>
        <w:widowControl/>
        <w:jc w:val="center"/>
        <w:rPr/>
      </w:pPr>
      <w:r>
        <w:rPr/>
      </w:r>
    </w:p>
    <w:p>
      <w:pPr>
        <w:pStyle w:val="Normal"/>
        <w:widowControl/>
        <w:jc w:val="center"/>
        <w:rPr>
          <w:u w:val="single"/>
        </w:rPr>
      </w:pPr>
      <w:r>
        <w:rPr>
          <w:u w:val="single"/>
        </w:rPr>
        <w:t>Management Services Agreement</w:t>
      </w:r>
    </w:p>
    <w:p>
      <w:pPr>
        <w:pStyle w:val="Normal"/>
        <w:widowControl/>
        <w:jc w:val="center"/>
        <w:rPr/>
      </w:pPr>
      <w:r>
        <w:rPr/>
      </w:r>
    </w:p>
    <w:p>
      <w:pPr>
        <w:pStyle w:val="Normal"/>
        <w:widowControl/>
        <w:jc w:val="both"/>
        <w:rPr/>
      </w:pPr>
      <w:r>
        <w:rPr/>
        <w:tab/>
        <w:t>THIS MANAGEMENT SERVICES AGREEMENT (the “</w:t>
      </w:r>
      <w:r>
        <w:rPr>
          <w:i/>
        </w:rPr>
        <w:t>Agreement</w:t>
      </w:r>
      <w:r>
        <w:rPr/>
        <w:t xml:space="preserve">”) is effective as of the </w:t>
      </w:r>
      <w:r>
        <w:rPr>
          <w:strike/>
        </w:rPr>
        <w:t>29th</w:t>
      </w:r>
      <w:r>
        <w:rPr>
          <w:b/>
          <w:u w:val="double"/>
        </w:rPr>
        <w:t>[____]</w:t>
      </w:r>
      <w:r>
        <w:rPr/>
        <w:t xml:space="preserve"> day of </w:t>
      </w:r>
      <w:r>
        <w:rPr>
          <w:strike/>
        </w:rPr>
        <w:t>June</w:t>
      </w:r>
      <w:r>
        <w:rPr/>
        <w:t xml:space="preserve"> </w:t>
      </w:r>
      <w:r>
        <w:rPr>
          <w:b/>
          <w:u w:val="double"/>
        </w:rPr>
        <w:t>September</w:t>
      </w:r>
      <w:r>
        <w:rPr/>
        <w:t>, 2000 (the “</w:t>
      </w:r>
      <w:r>
        <w:rPr>
          <w:i/>
        </w:rPr>
        <w:t>Effective Date</w:t>
      </w:r>
      <w:r>
        <w:rPr/>
        <w:t>”) by and among ENRON CORP., an Oregon corporation (“</w:t>
      </w:r>
      <w:r>
        <w:rPr>
          <w:i/>
        </w:rPr>
        <w:t>Servicer</w:t>
      </w:r>
      <w:r>
        <w:rPr/>
        <w:t>”), and BSCS XXIII, Inc., as manager, (the “</w:t>
      </w:r>
      <w:r>
        <w:rPr>
          <w:i/>
        </w:rPr>
        <w:t>Manager</w:t>
      </w:r>
      <w:r>
        <w:rPr/>
        <w:t xml:space="preserve">”) of </w:t>
      </w:r>
      <w:r>
        <w:rPr>
          <w:strike/>
        </w:rPr>
        <w:t>Timberwolf</w:t>
      </w:r>
      <w:r>
        <w:rPr/>
        <w:t xml:space="preserve"> </w:t>
      </w:r>
      <w:r>
        <w:rPr>
          <w:b/>
          <w:u w:val="double"/>
        </w:rPr>
        <w:t>Bobcat</w:t>
      </w:r>
      <w:r>
        <w:rPr/>
        <w:t xml:space="preserve"> I</w:t>
      </w:r>
      <w:r>
        <w:rPr>
          <w:strike/>
        </w:rPr>
        <w:t>,</w:t>
      </w:r>
      <w:r>
        <w:rPr/>
        <w:t xml:space="preserve"> LLC, a Delaware limited liability company (the “</w:t>
      </w:r>
      <w:r>
        <w:rPr>
          <w:i/>
        </w:rPr>
        <w:t>Company</w:t>
      </w:r>
      <w:r>
        <w:rPr/>
        <w:t xml:space="preserve">”), pursuant to the Amended and Restated Limited Liability Company Agreement of </w:t>
      </w:r>
      <w:r>
        <w:rPr>
          <w:strike/>
        </w:rPr>
        <w:t>Timberwolf</w:t>
      </w:r>
      <w:r>
        <w:rPr/>
        <w:t xml:space="preserve"> </w:t>
      </w:r>
      <w:r>
        <w:rPr>
          <w:b/>
          <w:u w:val="double"/>
        </w:rPr>
        <w:t>Bobcat</w:t>
      </w:r>
      <w:r>
        <w:rPr/>
        <w:t xml:space="preserve"> I</w:t>
      </w:r>
      <w:r>
        <w:rPr>
          <w:strike/>
        </w:rPr>
        <w:t>,</w:t>
      </w:r>
      <w:r>
        <w:rPr/>
        <w:t xml:space="preserve"> LLC (the </w:t>
      </w:r>
      <w:r>
        <w:rPr>
          <w:i/>
          <w:strike/>
        </w:rPr>
        <w:t>“Timberwolf</w:t>
      </w:r>
      <w:r>
        <w:rPr>
          <w:b/>
          <w:i/>
          <w:u w:val="double"/>
        </w:rPr>
        <w:t>“Bobcat</w:t>
      </w:r>
      <w:r>
        <w:rPr>
          <w:i/>
        </w:rPr>
        <w:t xml:space="preserve"> LLC Agreement”</w:t>
      </w:r>
      <w:r>
        <w:rPr/>
        <w:t xml:space="preserve">)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and LJM2-</w:t>
      </w:r>
      <w:r>
        <w:rPr>
          <w:strike/>
        </w:rPr>
        <w:t>Timberwolf</w:t>
      </w:r>
      <w:r>
        <w:rPr/>
        <w:t xml:space="preserve"> </w:t>
      </w:r>
      <w:r>
        <w:rPr>
          <w:b/>
          <w:u w:val="double"/>
        </w:rPr>
        <w:t>Bobcat</w:t>
      </w:r>
      <w:r>
        <w:rPr/>
        <w:t xml:space="preserve">, LLC.  Capitalized terms used but not otherwise defined herein shall have the meaning set forth in the </w:t>
      </w:r>
      <w:r>
        <w:rPr>
          <w:strike/>
        </w:rPr>
        <w:t>Timberwolf</w:t>
      </w:r>
      <w:r>
        <w:rPr/>
        <w:t xml:space="preserve"> </w:t>
      </w:r>
      <w:r>
        <w:rPr>
          <w:b/>
          <w:u w:val="double"/>
        </w:rPr>
        <w:t>Bobcat</w:t>
      </w:r>
      <w:r>
        <w:rPr/>
        <w:t xml:space="preserve"> LLC Agreement. </w:t>
      </w:r>
    </w:p>
    <w:p>
      <w:pPr>
        <w:pStyle w:val="Normal"/>
        <w:widowControl/>
        <w:jc w:val="both"/>
        <w:rPr/>
      </w:pPr>
      <w:r>
        <w:rPr/>
      </w:r>
    </w:p>
    <w:p>
      <w:pPr>
        <w:pStyle w:val="Normal"/>
        <w:widowControl/>
        <w:jc w:val="center"/>
        <w:rPr/>
      </w:pPr>
      <w:r>
        <w:rPr>
          <w:u w:val="single"/>
        </w:rPr>
        <w:t>RECITALS</w:t>
      </w:r>
      <w:r>
        <w:rPr/>
        <w:t>:</w:t>
      </w:r>
    </w:p>
    <w:p>
      <w:pPr>
        <w:pStyle w:val="Normal"/>
        <w:widowControl/>
        <w:jc w:val="center"/>
        <w:rPr/>
      </w:pPr>
      <w:r>
        <w:rPr/>
      </w:r>
    </w:p>
    <w:p>
      <w:pPr>
        <w:pStyle w:val="Normal"/>
        <w:widowControl/>
        <w:jc w:val="both"/>
        <w:rPr/>
      </w:pPr>
      <w:r>
        <w:rPr/>
        <w:tab/>
      </w:r>
      <w:r>
        <w:rPr>
          <w:b/>
        </w:rPr>
        <w:t>WHEREAS</w:t>
      </w:r>
      <w:r>
        <w:rPr/>
        <w:t xml:space="preserve">, the Manager intends to utilize, from time to time, certain resources of Servicer or its affiliates to assist the Manager in connection with the Company’s business; and  </w:t>
      </w:r>
    </w:p>
    <w:p>
      <w:pPr>
        <w:pStyle w:val="Normal"/>
        <w:widowControl/>
        <w:jc w:val="both"/>
        <w:rPr/>
      </w:pPr>
      <w:r>
        <w:rPr/>
      </w:r>
    </w:p>
    <w:p>
      <w:pPr>
        <w:pStyle w:val="Normal"/>
        <w:widowControl/>
        <w:jc w:val="both"/>
        <w:rPr/>
      </w:pPr>
      <w:r>
        <w:rPr/>
        <w:tab/>
      </w:r>
      <w:r>
        <w:rPr>
          <w:b/>
        </w:rPr>
        <w:t>WHEREAS</w:t>
      </w:r>
      <w:r>
        <w:rPr/>
        <w:t>, Servicer and the Manager desire by their execution of this Agreement to evidence their understanding concerning the use of such resources.</w:t>
      </w:r>
    </w:p>
    <w:p>
      <w:pPr>
        <w:pStyle w:val="Normal"/>
        <w:widowControl/>
        <w:jc w:val="both"/>
        <w:rPr/>
      </w:pPr>
      <w:r>
        <w:rPr/>
      </w:r>
    </w:p>
    <w:p>
      <w:pPr>
        <w:pStyle w:val="Normal"/>
        <w:widowControl/>
        <w:jc w:val="both"/>
        <w:rPr/>
      </w:pPr>
      <w:r>
        <w:rPr/>
        <w:tab/>
      </w:r>
      <w:r>
        <w:rPr>
          <w:b/>
        </w:rPr>
        <w:t>THEREFORE</w:t>
      </w:r>
      <w:r>
        <w:rPr/>
        <w:t>, in consideration of the premises, covenants, conditions and agreements, contained herein, and for other good and valuable consideration, the receipt and sufficiency of which are hereby acknowledged, the parties hereby agree as follows:</w:t>
      </w:r>
    </w:p>
    <w:p>
      <w:pPr>
        <w:pStyle w:val="Normal"/>
        <w:widowControl/>
        <w:jc w:val="both"/>
        <w:rPr/>
      </w:pPr>
      <w:r>
        <w:rPr/>
      </w:r>
    </w:p>
    <w:p>
      <w:pPr>
        <w:pStyle w:val="Normal"/>
        <w:widowControl/>
        <w:jc w:val="both"/>
        <w:rPr/>
      </w:pPr>
      <w:r>
        <w:rPr/>
        <w:tab/>
        <w:t>1.</w:t>
        <w:tab/>
      </w:r>
      <w:r>
        <w:rPr>
          <w:b/>
          <w:u w:val="single"/>
        </w:rPr>
        <w:t>Term</w:t>
      </w:r>
      <w:r>
        <w:rPr/>
        <w:t xml:space="preserve">.  The term of this Agreement shall be from the Effective Date and continue in effect until the earliest to occur of (i) the date on which this Agreement is terminated by Servicer (which date of termination shall be no earlier than thirty (30) days following the date on which Servicer provides notice of its intent to terminate this Agreement to the Manager, </w:t>
      </w:r>
      <w:r>
        <w:rPr>
          <w:strike/>
        </w:rPr>
        <w:t>Grizzly</w:t>
      </w:r>
      <w:r>
        <w:rPr/>
        <w:t xml:space="preserve"> </w:t>
      </w:r>
      <w:r>
        <w:rPr>
          <w:b/>
          <w:u w:val="double"/>
        </w:rPr>
        <w:t>Roadrunner</w:t>
      </w:r>
      <w:r>
        <w:rPr/>
        <w:t xml:space="preserve"> I</w:t>
      </w:r>
      <w:r>
        <w:rPr>
          <w:strike/>
        </w:rPr>
        <w:t>,</w:t>
      </w:r>
      <w:r>
        <w:rPr/>
        <w:t xml:space="preserve"> LLC and LJM2-</w:t>
      </w:r>
      <w:r>
        <w:rPr>
          <w:strike/>
        </w:rPr>
        <w:t>Timberwolf</w:t>
      </w:r>
      <w:r>
        <w:rPr/>
        <w:t xml:space="preserve"> </w:t>
      </w:r>
      <w:r>
        <w:rPr>
          <w:b/>
          <w:u w:val="double"/>
        </w:rPr>
        <w:t>Bobcat</w:t>
      </w:r>
      <w:r>
        <w:rPr/>
        <w:t xml:space="preserve">, LLC) and (ii) the date on which BSCS XXIII, Inc. is no longer the Manager under the </w:t>
      </w:r>
      <w:r>
        <w:rPr>
          <w:strike/>
        </w:rPr>
        <w:t>Timberwolf</w:t>
      </w:r>
      <w:r>
        <w:rPr/>
        <w:t xml:space="preserve"> </w:t>
      </w:r>
      <w:r>
        <w:rPr>
          <w:b/>
          <w:u w:val="double"/>
        </w:rPr>
        <w:t>Bobcat</w:t>
      </w:r>
      <w:r>
        <w:rPr/>
        <w:t xml:space="preserve"> LLC Agreement.  Each party shall continue thereafter to be responsible for any obligations incurred or occurring prior to such termination. </w:t>
      </w:r>
    </w:p>
    <w:p>
      <w:pPr>
        <w:pStyle w:val="Normal"/>
        <w:widowControl/>
        <w:jc w:val="both"/>
        <w:rPr/>
      </w:pPr>
      <w:r>
        <w:rPr/>
      </w:r>
    </w:p>
    <w:p>
      <w:pPr>
        <w:pStyle w:val="Normal"/>
        <w:widowControl/>
        <w:jc w:val="both"/>
        <w:rPr/>
      </w:pPr>
      <w:r>
        <w:rPr/>
        <w:tab/>
        <w:t>2.</w:t>
        <w:tab/>
      </w:r>
      <w:r>
        <w:rPr>
          <w:b/>
          <w:u w:val="single"/>
        </w:rPr>
        <w:t>Services</w:t>
      </w:r>
      <w:r>
        <w:rPr/>
        <w:t>.  During the term hereof, Servicer agrees to provide certain assistance to the Manager and the Company for its general corporate services, such assistance to include accounting services and maintenance and safekeeping of books and records (the “</w:t>
      </w:r>
      <w:r>
        <w:rPr>
          <w:i/>
        </w:rPr>
        <w:t>Services</w:t>
      </w:r>
      <w:r>
        <w:rPr/>
        <w:t xml:space="preserve">”) in accordance with the terms of this Agreement and the </w:t>
      </w:r>
      <w:r>
        <w:rPr>
          <w:strike/>
        </w:rPr>
        <w:t>Timberwolf</w:t>
      </w:r>
      <w:r>
        <w:rPr/>
        <w:t xml:space="preserve"> </w:t>
      </w:r>
      <w:r>
        <w:rPr>
          <w:b/>
          <w:u w:val="double"/>
        </w:rPr>
        <w:t>Bobcat</w:t>
      </w:r>
      <w:r>
        <w:rPr/>
        <w:t xml:space="preserve"> LLC Agreement.  Servicer shall devote so much of its time and effort as is reasonably necessary to perform its obligations under this Agreement.  In exchange for the provision of the Services by Servicer, the Manager shall pay to Servicer a management fee</w:t>
      </w:r>
      <w:r>
        <w:rPr>
          <w:b/>
        </w:rPr>
        <w:t xml:space="preserve"> </w:t>
      </w:r>
      <w:r>
        <w:rPr/>
        <w:t xml:space="preserve">in the amount of $15,000 annually, in advance on </w:t>
      </w:r>
      <w:r>
        <w:rPr>
          <w:strike/>
        </w:rPr>
        <w:t>July 6</w:t>
      </w:r>
      <w:r>
        <w:rPr/>
        <w:t xml:space="preserve"> </w:t>
      </w:r>
      <w:r>
        <w:rPr>
          <w:b/>
          <w:u w:val="double"/>
        </w:rPr>
        <w:t>September [__]</w:t>
      </w:r>
      <w:r>
        <w:rPr/>
        <w:t>, 2000 and on each anniversary of the Effective Date.  During the term of this Agreement, without obtaining the prior written consent of Servicer, the Manager shall not delegate to, nor hire or contract with, any other Person to perform any of the Services, nor shall the Manager perform any of the Services itself, except at the direction of Servicer.</w:t>
      </w:r>
    </w:p>
    <w:p>
      <w:pPr>
        <w:pStyle w:val="Normal"/>
        <w:widowControl/>
        <w:jc w:val="both"/>
        <w:rPr/>
      </w:pPr>
      <w:r>
        <w:rPr/>
      </w:r>
    </w:p>
    <w:p>
      <w:pPr>
        <w:pStyle w:val="Normal"/>
        <w:widowControl/>
        <w:jc w:val="both"/>
        <w:rPr/>
      </w:pPr>
      <w:r>
        <w:rPr/>
        <w:tab/>
        <w:t>3.</w:t>
        <w:tab/>
      </w:r>
      <w:r>
        <w:rPr>
          <w:b/>
          <w:u w:val="single"/>
        </w:rPr>
        <w:t>Standard of Care</w:t>
      </w:r>
      <w:r>
        <w:rPr/>
        <w:t xml:space="preserve">.  Servicer shall perform the Services with the same degree of diligence and care that is required of the Manager pursuant to the </w:t>
      </w:r>
      <w:r>
        <w:rPr>
          <w:strike/>
        </w:rPr>
        <w:t>Timberwolf</w:t>
      </w:r>
      <w:r>
        <w:rPr/>
        <w:t xml:space="preserve"> </w:t>
      </w:r>
      <w:r>
        <w:rPr>
          <w:b/>
          <w:u w:val="double"/>
        </w:rPr>
        <w:t>Bobcat</w:t>
      </w:r>
      <w:r>
        <w:rPr/>
        <w:t xml:space="preserve"> LLC Agreement.  </w:t>
      </w:r>
    </w:p>
    <w:p>
      <w:pPr>
        <w:pStyle w:val="Normal"/>
        <w:widowControl/>
        <w:jc w:val="both"/>
        <w:rPr/>
      </w:pPr>
      <w:r>
        <w:rPr/>
      </w:r>
    </w:p>
    <w:p>
      <w:pPr>
        <w:pStyle w:val="Normal"/>
        <w:widowControl/>
        <w:jc w:val="both"/>
        <w:rPr/>
      </w:pPr>
      <w:r>
        <w:rPr/>
        <w:tab/>
        <w:t>4.</w:t>
        <w:tab/>
      </w:r>
      <w:r>
        <w:rPr>
          <w:b/>
          <w:u w:val="single"/>
        </w:rPr>
        <w:t>Confidentiality</w:t>
      </w:r>
      <w:r>
        <w:rPr/>
        <w:t>.  (a)  The Manager acknowledges and agrees that, from time to time, it may receive information from or regarding the Company, Enron or Enron's  Affiliates (each, a "</w:t>
      </w:r>
      <w:r>
        <w:rPr>
          <w:i/>
        </w:rPr>
        <w:t>Subject Person</w:t>
      </w:r>
      <w:r>
        <w:rPr/>
        <w:t xml:space="preserve">") in the nature of trade secrets or that is otherwise confidential, the release of which may be damaging to the Subject Person or to Persons with which it does business, including, without limitation, information relating to the structure of the transactions contemplated by this Agreement or the </w:t>
      </w:r>
      <w:r>
        <w:rPr>
          <w:strike/>
        </w:rPr>
        <w:t>Timberwolf</w:t>
      </w:r>
      <w:r>
        <w:rPr/>
        <w:t xml:space="preserve"> </w:t>
      </w:r>
      <w:r>
        <w:rPr>
          <w:b/>
          <w:u w:val="double"/>
        </w:rPr>
        <w:t>Bobcat</w:t>
      </w:r>
      <w:r>
        <w:rPr/>
        <w:t xml:space="preserve"> LLC Agreement and the Subject Agreements, information relating to any underlying investment made by Enron or Enron's Affiliates that is being hedged pursuant to the Subject Agreements, and information relating to any investments made by the Company, Enron or Enron's affiliates (all of the foregoing being "</w:t>
      </w:r>
      <w:r>
        <w:rPr>
          <w:i/>
        </w:rPr>
        <w:t>Confidential Information</w:t>
      </w:r>
      <w:r>
        <w:rPr/>
        <w:t xml:space="preserve">").  Unless the Subject Person (and the </w:t>
      </w:r>
      <w:r>
        <w:rPr>
          <w:strike/>
        </w:rPr>
        <w:t>Grizzly</w:t>
      </w:r>
      <w:r>
        <w:rPr/>
        <w:t xml:space="preserve"> </w:t>
      </w:r>
      <w:r>
        <w:rPr>
          <w:b/>
          <w:u w:val="double"/>
        </w:rPr>
        <w:t>Roadrunner</w:t>
      </w:r>
      <w:r>
        <w:rPr/>
        <w:t xml:space="preserve"> Member if the Company is the Subject Person) consents otherwise, the Manager shall hold in strict confidence and not use (except for matters involving the Company) any Confidential Information it receives regarding the Subject Person and may not disclose it to any Person other than a Member of the Company or Servicer except for disclosures (i) required by applicable law or applicable stock exchange regulations (but the Manager must notify the Subject Person (and the </w:t>
      </w:r>
      <w:r>
        <w:rPr>
          <w:strike/>
        </w:rPr>
        <w:t>Grizzly</w:t>
      </w:r>
      <w:r>
        <w:rPr/>
        <w:t xml:space="preserve"> </w:t>
      </w:r>
      <w:r>
        <w:rPr>
          <w:b/>
          <w:u w:val="double"/>
        </w:rPr>
        <w:t>Roadrunner</w:t>
      </w:r>
      <w:r>
        <w:rPr/>
        <w:t xml:space="preserve"> Member if the Company is the Subject Person) promptly of any request for that information, before disclosure if such prior notification is practicable), (ii) of information that is publicly available or that the Manager also has received from a source independent of the Subject Person that the Manager reasonably believes obtained that information and disclosed it to the Manager without breach of any obligation of confidentiality, (iii) to financial and other professional advisors of the LJM2 Member to the extent necessary to assist in consummating the transactions contemplated by the Subject Agreements, or any subsequent matter involving the Company and (iv) to LJM2 Co-Investment, L. P. and the members of its Advisory Committee, to the extent necessary to enable them to render an informed judgment whether to approve LJM2 Co-Investment, L.P.'s investment in the LJM2 Member and the consummation of the transactions contemplated by the Subject Agreements; </w:t>
      </w:r>
      <w:r>
        <w:rPr>
          <w:i/>
        </w:rPr>
        <w:t>provided, however,</w:t>
      </w:r>
      <w:r>
        <w:rPr/>
        <w:t xml:space="preserve"> that no information shall be disclosed pursuant to subparagraph (iv) until LJM2 Co-Investment, L. P. shall have delivered to the </w:t>
      </w:r>
      <w:r>
        <w:rPr>
          <w:strike/>
        </w:rPr>
        <w:t>Grizzly</w:t>
      </w:r>
      <w:r>
        <w:rPr/>
        <w:t xml:space="preserve"> </w:t>
      </w:r>
      <w:r>
        <w:rPr>
          <w:b/>
          <w:u w:val="double"/>
        </w:rPr>
        <w:t>Roadrunner</w:t>
      </w:r>
      <w:r>
        <w:rPr/>
        <w:t xml:space="preserve"> Member an agreement to enforce the confidentiality provisions of the LJM2 Co-Investment, L. P. limited partnership agreement on behalf of </w:t>
      </w:r>
      <w:r>
        <w:rPr>
          <w:strike/>
        </w:rPr>
        <w:t>Grizzly</w:t>
      </w:r>
      <w:r>
        <w:rPr/>
        <w:t xml:space="preserve"> </w:t>
      </w:r>
      <w:r>
        <w:rPr>
          <w:b/>
          <w:u w:val="double"/>
        </w:rPr>
        <w:t>Roadrunner</w:t>
      </w:r>
      <w:r>
        <w:rPr/>
        <w:t xml:space="preserve"> to prevent disclosure by any partner or member of the Advisory Committee of LJM2 Co-Investment, L. P. of any information that constitutes Confidential Information hereunder.  Each party hereto acknowledges that breach of the provisions of this Section 4 may cause irreparable injury to the Subject Person for which monetary damages are inadequate, difficult to compute, or both.  Accordingly, the parties hereto agree that the provisions of this Section 4 may be enforced by specific performance, including through injunctive relief.  The provisions of this Section 4 may be specifically enforced by any applicable Subject Person.  Notwithstanding anything in Section 12 of this Agreement, any Subject Person shall have the right to apply to a court to enjoin any breach of the agreements in this Section 4.</w:t>
      </w:r>
    </w:p>
    <w:p>
      <w:pPr>
        <w:pStyle w:val="Normal"/>
        <w:widowControl/>
        <w:jc w:val="both"/>
        <w:rPr>
          <w:b/>
        </w:rPr>
      </w:pPr>
      <w:r>
        <w:rPr>
          <w:b/>
        </w:rPr>
      </w:r>
    </w:p>
    <w:p>
      <w:pPr>
        <w:pStyle w:val="Normal"/>
        <w:widowControl/>
        <w:jc w:val="both"/>
        <w:rPr/>
      </w:pPr>
      <w:r>
        <w:rPr/>
        <w:tab/>
        <w:t>(b)</w:t>
        <w:tab/>
        <w:t>Each party hereto shall take such precautionary measures as may be required to ensure (and such party shall be responsible for) compliance with this Section 4 by any of its Affiliates, legal and financial advisors, and its and their respective directors, officers, employees and agents.</w:t>
      </w:r>
    </w:p>
    <w:p>
      <w:pPr>
        <w:pStyle w:val="Normal"/>
        <w:widowControl/>
        <w:jc w:val="both"/>
        <w:rPr/>
      </w:pPr>
      <w:r>
        <w:rPr/>
      </w:r>
    </w:p>
    <w:p>
      <w:pPr>
        <w:pStyle w:val="Normal"/>
        <w:widowControl/>
        <w:jc w:val="both"/>
        <w:rPr/>
      </w:pPr>
      <w:r>
        <w:rPr/>
        <w:tab/>
        <w:t>5.</w:t>
        <w:tab/>
      </w:r>
      <w:r>
        <w:rPr>
          <w:b/>
          <w:u w:val="single"/>
        </w:rPr>
        <w:t>Limitation of Remedies</w:t>
      </w:r>
      <w:r>
        <w:rPr/>
        <w:t xml:space="preserve">.  Neither party nor any of their affiliates shall have the right to recover indirect, special, consequential, or punitive damages or loss of profits that may result from any action or inaction of the other party or from the breach of this Agreement, regardless of the fault of such party or any third party fault.  </w:t>
      </w:r>
    </w:p>
    <w:p>
      <w:pPr>
        <w:pStyle w:val="Normal"/>
        <w:widowControl/>
        <w:jc w:val="both"/>
        <w:rPr/>
      </w:pPr>
      <w:r>
        <w:rPr/>
      </w:r>
    </w:p>
    <w:p>
      <w:pPr>
        <w:pStyle w:val="Normal"/>
        <w:widowControl/>
        <w:jc w:val="both"/>
        <w:rPr/>
      </w:pPr>
      <w:r>
        <w:rPr/>
        <w:tab/>
        <w:t>6.</w:t>
        <w:tab/>
      </w:r>
      <w:r>
        <w:rPr>
          <w:b/>
          <w:u w:val="single"/>
        </w:rPr>
        <w:t>Assignment; Delegation</w:t>
      </w:r>
      <w:r>
        <w:rPr/>
        <w:t>.  No party shall have the right to assign its rights or obligations under this Agreement without the written consent of the other party, which consent will not be unreasonably withheld.  However, Servicer shall have the right to delegate the performance of Services under this Agreement to its Affiliates.  In such case, such Affiliates shall be deemed bound by this Agreement as the “</w:t>
      </w:r>
      <w:r>
        <w:rPr>
          <w:i/>
        </w:rPr>
        <w:t>Servicer</w:t>
      </w:r>
      <w:r>
        <w:rPr/>
        <w:t>.”</w:t>
      </w:r>
    </w:p>
    <w:p>
      <w:pPr>
        <w:pStyle w:val="Normal"/>
        <w:widowControl/>
        <w:jc w:val="both"/>
        <w:rPr/>
      </w:pPr>
      <w:r>
        <w:rPr/>
      </w:r>
    </w:p>
    <w:p>
      <w:pPr>
        <w:pStyle w:val="Normal"/>
        <w:widowControl/>
        <w:jc w:val="both"/>
        <w:rPr/>
      </w:pPr>
      <w:r>
        <w:rPr/>
        <w:tab/>
        <w:t>7.</w:t>
        <w:tab/>
      </w:r>
      <w:r>
        <w:rPr>
          <w:b/>
          <w:u w:val="single"/>
        </w:rPr>
        <w:t>Entire Agreement</w:t>
      </w:r>
      <w:r>
        <w:rPr/>
        <w:t>.  This Agreement constitutes the entire agreement of the parties relating to the performance of the Services.  All prior or contemporaneous written or oral agreements are merged herein.</w:t>
      </w:r>
    </w:p>
    <w:p>
      <w:pPr>
        <w:pStyle w:val="Normal"/>
        <w:widowControl/>
        <w:jc w:val="both"/>
        <w:rPr/>
      </w:pPr>
      <w:r>
        <w:rPr/>
      </w:r>
    </w:p>
    <w:p>
      <w:pPr>
        <w:pStyle w:val="Normal"/>
        <w:widowControl/>
        <w:jc w:val="both"/>
        <w:rPr/>
      </w:pPr>
      <w:r>
        <w:rPr/>
        <w:tab/>
        <w:t>8.</w:t>
        <w:tab/>
      </w:r>
      <w:r>
        <w:rPr>
          <w:b/>
          <w:u w:val="single"/>
        </w:rPr>
        <w:t>Choice of Law</w:t>
      </w:r>
      <w:r>
        <w:rPr/>
        <w:t>.  This Agreement shall be subject to and governed by the laws of the State of New York.</w:t>
      </w:r>
    </w:p>
    <w:p>
      <w:pPr>
        <w:pStyle w:val="Normal"/>
        <w:widowControl/>
        <w:jc w:val="both"/>
        <w:rPr/>
      </w:pPr>
      <w:r>
        <w:rPr/>
      </w:r>
    </w:p>
    <w:p>
      <w:pPr>
        <w:pStyle w:val="Normal"/>
        <w:widowControl/>
        <w:jc w:val="both"/>
        <w:rPr/>
      </w:pPr>
      <w:r>
        <w:rPr/>
        <w:tab/>
        <w:t>9.</w:t>
        <w:tab/>
      </w:r>
      <w:r>
        <w:rPr>
          <w:b/>
          <w:u w:val="single"/>
        </w:rPr>
        <w:t>Amendment or Modification</w:t>
      </w:r>
      <w:r>
        <w:rPr/>
        <w:t xml:space="preserve">.  This Agreement may be amended or modified from time to time only by a written instrument signed by the parties hereto.  </w:t>
      </w:r>
    </w:p>
    <w:p>
      <w:pPr>
        <w:pStyle w:val="Normal"/>
        <w:widowControl/>
        <w:jc w:val="both"/>
        <w:rPr/>
      </w:pPr>
      <w:r>
        <w:rPr/>
      </w:r>
    </w:p>
    <w:p>
      <w:pPr>
        <w:pStyle w:val="Normal"/>
        <w:widowControl/>
        <w:jc w:val="both"/>
        <w:rPr/>
      </w:pPr>
      <w:r>
        <w:rPr/>
        <w:tab/>
        <w:t>10.</w:t>
        <w:tab/>
      </w:r>
      <w:r>
        <w:rPr>
          <w:b/>
          <w:u w:val="single"/>
        </w:rPr>
        <w:t>Notices</w:t>
      </w:r>
      <w:r>
        <w:rPr/>
        <w:t>.  Any written notice, request, instruction, correspondence, or other document to be given hereunder by either party to the other (herein, collectively called “</w:t>
      </w:r>
      <w:r>
        <w:rPr>
          <w:i/>
        </w:rPr>
        <w:t>Notice</w:t>
      </w:r>
      <w:r>
        <w:rPr/>
        <w:t xml:space="preserve">”) shall be delivered personally or mailed, postage prepaid, as follows:  </w:t>
      </w:r>
    </w:p>
    <w:p>
      <w:pPr>
        <w:pStyle w:val="Normal"/>
        <w:widowControl/>
        <w:jc w:val="both"/>
        <w:rPr/>
      </w:pPr>
      <w:r>
        <w:rPr/>
      </w:r>
    </w:p>
    <w:p>
      <w:pPr>
        <w:pStyle w:val="Normal"/>
        <w:widowControl/>
        <w:jc w:val="both"/>
        <w:rPr/>
      </w:pPr>
      <w:r>
        <w:rPr/>
        <w:tab/>
        <w:tab/>
        <w:t>If to Servicer:</w:t>
        <w:tab/>
        <w:tab/>
        <w:tab/>
        <w:t xml:space="preserve">Enron Corp. </w:t>
      </w:r>
    </w:p>
    <w:p>
      <w:pPr>
        <w:pStyle w:val="Normal"/>
        <w:widowControl/>
        <w:jc w:val="both"/>
        <w:rPr/>
      </w:pPr>
      <w:r>
        <w:rPr/>
        <w:tab/>
        <w:tab/>
        <w:tab/>
        <w:tab/>
        <w:tab/>
        <w:tab/>
        <w:t>1400 Smith Street</w:t>
      </w:r>
    </w:p>
    <w:p>
      <w:pPr>
        <w:pStyle w:val="Normal"/>
        <w:widowControl/>
        <w:jc w:val="both"/>
        <w:rPr/>
      </w:pPr>
      <w:r>
        <w:rPr/>
        <w:tab/>
        <w:tab/>
        <w:tab/>
        <w:tab/>
        <w:tab/>
        <w:tab/>
        <w:t>Houston, Texas  77002</w:t>
      </w:r>
    </w:p>
    <w:p>
      <w:pPr>
        <w:pStyle w:val="Normal"/>
        <w:widowControl/>
        <w:jc w:val="both"/>
        <w:rPr/>
      </w:pPr>
      <w:r>
        <w:rPr/>
        <w:tab/>
        <w:tab/>
        <w:tab/>
        <w:tab/>
        <w:tab/>
        <w:tab/>
        <w:t>Attention:  Corporate Treasury</w:t>
      </w:r>
    </w:p>
    <w:p>
      <w:pPr>
        <w:pStyle w:val="Normal"/>
        <w:widowControl/>
        <w:jc w:val="both"/>
        <w:rPr/>
      </w:pPr>
      <w:r>
        <w:rPr/>
        <w:tab/>
        <w:tab/>
        <w:tab/>
        <w:tab/>
        <w:tab/>
        <w:tab/>
        <w:t xml:space="preserve">Fax No.:  </w:t>
      </w:r>
      <w:r>
        <w:rPr>
          <w:color w:val="000000"/>
        </w:rPr>
        <w:t>(713) 646-3422</w:t>
      </w:r>
    </w:p>
    <w:p>
      <w:pPr>
        <w:pStyle w:val="Normal"/>
        <w:widowControl/>
        <w:jc w:val="both"/>
        <w:rPr/>
      </w:pPr>
      <w:r>
        <w:rPr/>
      </w:r>
    </w:p>
    <w:p>
      <w:pPr>
        <w:pStyle w:val="Normal"/>
        <w:widowControl/>
        <w:jc w:val="both"/>
        <w:rPr/>
      </w:pPr>
      <w:r>
        <w:rPr/>
        <w:tab/>
        <w:tab/>
        <w:t>If to Manager:</w:t>
        <w:tab/>
        <w:tab/>
        <w:tab/>
        <w:t>BSCS XXIII, Inc.</w:t>
      </w:r>
    </w:p>
    <w:p>
      <w:pPr>
        <w:pStyle w:val="Normal"/>
        <w:widowControl/>
        <w:jc w:val="both"/>
        <w:rPr/>
      </w:pPr>
      <w:r>
        <w:rPr/>
        <w:tab/>
        <w:tab/>
        <w:tab/>
        <w:tab/>
        <w:tab/>
        <w:tab/>
        <w:t>c/o Lord Securities Corporation</w:t>
      </w:r>
    </w:p>
    <w:p>
      <w:pPr>
        <w:pStyle w:val="Normal"/>
        <w:widowControl/>
        <w:jc w:val="both"/>
        <w:rPr/>
      </w:pPr>
      <w:r>
        <w:rPr/>
        <w:tab/>
        <w:tab/>
        <w:tab/>
        <w:tab/>
        <w:tab/>
        <w:tab/>
        <w:t>1201 North Orange Street, Suite 800</w:t>
      </w:r>
    </w:p>
    <w:p>
      <w:pPr>
        <w:pStyle w:val="Normal"/>
        <w:widowControl/>
        <w:jc w:val="both"/>
        <w:rPr/>
      </w:pPr>
      <w:r>
        <w:rPr/>
        <w:tab/>
        <w:tab/>
        <w:tab/>
        <w:tab/>
        <w:tab/>
        <w:tab/>
        <w:t>Wilmington, DE 19801-1186</w:t>
      </w:r>
    </w:p>
    <w:p>
      <w:pPr>
        <w:pStyle w:val="Normal"/>
        <w:widowControl/>
        <w:jc w:val="both"/>
        <w:rPr/>
      </w:pPr>
      <w:r>
        <w:rPr/>
        <w:tab/>
        <w:tab/>
        <w:tab/>
        <w:tab/>
        <w:tab/>
        <w:tab/>
        <w:t>Attention:  Dwight Jenkins</w:t>
      </w:r>
    </w:p>
    <w:p>
      <w:pPr>
        <w:pStyle w:val="Normal"/>
        <w:widowControl/>
        <w:jc w:val="both"/>
        <w:rPr/>
      </w:pPr>
      <w:r>
        <w:rPr/>
        <w:tab/>
        <w:tab/>
        <w:tab/>
        <w:tab/>
        <w:tab/>
        <w:tab/>
        <w:t>Fax No.:  (302) 573-2507</w:t>
      </w:r>
    </w:p>
    <w:p>
      <w:pPr>
        <w:pStyle w:val="Normal"/>
        <w:widowControl/>
        <w:jc w:val="both"/>
        <w:rPr/>
      </w:pPr>
      <w:r>
        <w:rPr/>
      </w:r>
    </w:p>
    <w:p>
      <w:pPr>
        <w:pStyle w:val="Normal"/>
        <w:widowControl/>
        <w:jc w:val="both"/>
        <w:rPr/>
      </w:pPr>
      <w:r>
        <w:rPr/>
        <w:tab/>
        <w:tab/>
        <w:t>If to Company:</w:t>
        <w:tab/>
        <w:tab/>
      </w:r>
      <w:r>
        <w:rPr>
          <w:strike/>
        </w:rPr>
        <w:t>Timberwolf</w:t>
      </w:r>
      <w:r>
        <w:rPr/>
        <w:t xml:space="preserve"> </w:t>
      </w:r>
      <w:r>
        <w:rPr>
          <w:b/>
          <w:u w:val="double"/>
        </w:rPr>
        <w:t>Bobcat</w:t>
      </w:r>
      <w:r>
        <w:rPr/>
        <w:t xml:space="preserve"> I</w:t>
      </w:r>
      <w:r>
        <w:rPr>
          <w:strike/>
        </w:rPr>
        <w:t>,</w:t>
      </w:r>
      <w:r>
        <w:rPr/>
        <w:t xml:space="preserve"> LLC</w:t>
      </w:r>
    </w:p>
    <w:p>
      <w:pPr>
        <w:pStyle w:val="Normal"/>
        <w:widowControl/>
        <w:jc w:val="both"/>
        <w:rPr/>
      </w:pPr>
      <w:r>
        <w:rPr/>
        <w:tab/>
        <w:tab/>
        <w:tab/>
        <w:tab/>
        <w:tab/>
        <w:tab/>
        <w:t>333 Clay Street, Suite 1203</w:t>
      </w:r>
    </w:p>
    <w:p>
      <w:pPr>
        <w:pStyle w:val="Normal"/>
        <w:widowControl/>
        <w:jc w:val="both"/>
        <w:rPr/>
      </w:pPr>
      <w:r>
        <w:rPr/>
        <w:tab/>
        <w:tab/>
        <w:tab/>
        <w:tab/>
        <w:tab/>
        <w:tab/>
        <w:t>Houston, Texas 77002</w:t>
      </w:r>
    </w:p>
    <w:p>
      <w:pPr>
        <w:pStyle w:val="Normal"/>
        <w:widowControl/>
        <w:jc w:val="both"/>
        <w:rPr/>
      </w:pPr>
      <w:r>
        <w:rPr/>
        <w:tab/>
        <w:tab/>
        <w:tab/>
        <w:tab/>
        <w:tab/>
        <w:tab/>
        <w:t>Attention:  Andrew S. Fastow</w:t>
      </w:r>
    </w:p>
    <w:p>
      <w:pPr>
        <w:pStyle w:val="Normal"/>
        <w:widowControl/>
        <w:jc w:val="both"/>
        <w:rPr/>
      </w:pPr>
      <w:r>
        <w:rPr/>
        <w:tab/>
        <w:tab/>
        <w:tab/>
        <w:tab/>
        <w:tab/>
        <w:tab/>
        <w:t>Fax No.:  (713) 646-8656</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widowControl/>
        <w:jc w:val="both"/>
        <w:rPr/>
      </w:pPr>
      <w:r>
        <w:rPr/>
        <w:tab/>
        <w:t xml:space="preserve">Notice given by personal delivery or mail shall be effective upon the actual receipt by the person to whom addressed.  Any party may change any address to which Notice is to be given to it by giving Notice as provided above of such change of address. </w:t>
      </w:r>
    </w:p>
    <w:p>
      <w:pPr>
        <w:pStyle w:val="Normal"/>
        <w:widowControl/>
        <w:jc w:val="both"/>
        <w:rPr/>
      </w:pPr>
      <w:r>
        <w:rPr/>
      </w:r>
    </w:p>
    <w:p>
      <w:pPr>
        <w:pStyle w:val="Normal"/>
        <w:widowControl/>
        <w:jc w:val="both"/>
        <w:rPr/>
      </w:pPr>
      <w:r>
        <w:rPr/>
        <w:tab/>
        <w:t>11.</w:t>
        <w:tab/>
      </w:r>
      <w:r>
        <w:rPr>
          <w:b/>
          <w:u w:val="single"/>
        </w:rPr>
        <w:t>Further Assurances</w:t>
      </w:r>
      <w:r>
        <w:rPr/>
        <w:t xml:space="preserve">.  In connection with this Agreement and all transactions contemplated by this Agreement, each signatory party hereto agrees to execute and deliver such additional documents and instruments as may be necessary or appropriate to effectuate, carry out and perform all of the terms, provisions, and conditions of this Agreement.  </w:t>
      </w:r>
    </w:p>
    <w:p>
      <w:pPr>
        <w:pStyle w:val="Normal"/>
        <w:widowControl/>
        <w:jc w:val="both"/>
        <w:rPr/>
      </w:pPr>
      <w:r>
        <w:rPr/>
      </w:r>
    </w:p>
    <w:p>
      <w:pPr>
        <w:pStyle w:val="Normal"/>
        <w:keepNext w:val="true"/>
        <w:widowControl/>
        <w:jc w:val="both"/>
        <w:rPr/>
      </w:pPr>
      <w:r>
        <w:rPr/>
        <w:tab/>
        <w:t>12.</w:t>
        <w:tab/>
      </w:r>
      <w:r>
        <w:rPr>
          <w:b/>
          <w:u w:val="single"/>
        </w:rPr>
        <w:t>Arbitration</w:t>
      </w:r>
      <w:r>
        <w:rPr/>
        <w:t xml:space="preserve">.  </w:t>
      </w:r>
    </w:p>
    <w:p>
      <w:pPr>
        <w:pStyle w:val="Normal"/>
        <w:keepNext w:val="true"/>
        <w:widowControl/>
        <w:jc w:val="both"/>
        <w:rPr/>
      </w:pPr>
      <w:r>
        <w:rPr/>
      </w:r>
    </w:p>
    <w:p>
      <w:pPr>
        <w:pStyle w:val="Normal"/>
        <w:keepNext w:val="true"/>
        <w:widowControl/>
        <w:jc w:val="both"/>
        <w:rPr/>
      </w:pPr>
      <w:r>
        <w:rPr/>
        <w:tab/>
        <w:tab/>
        <w:t>(a)</w:t>
        <w:tab/>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(collectively, the “</w:t>
      </w:r>
      <w:r>
        <w:rPr>
          <w:i/>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pPr>
      <w:r>
        <w:rPr/>
      </w:r>
    </w:p>
    <w:p>
      <w:pPr>
        <w:pStyle w:val="Normal"/>
        <w:widowControl/>
        <w:jc w:val="both"/>
        <w:rPr/>
      </w:pPr>
      <w:r>
        <w:rPr>
          <w:b/>
        </w:rPr>
        <w:tab/>
        <w:tab/>
      </w:r>
      <w:r>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pPr>
      <w:r>
        <w:rPr/>
      </w:r>
    </w:p>
    <w:p>
      <w:pPr>
        <w:pStyle w:val="Normal"/>
        <w:widowControl/>
        <w:jc w:val="both"/>
        <w:rPr/>
      </w:pPr>
      <w:r>
        <w:rPr>
          <w:b/>
        </w:rPr>
        <w:tab/>
        <w:tab/>
      </w:r>
      <w:r>
        <w:rPr/>
        <w:t>(c)</w:t>
        <w:tab/>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widowControl/>
        <w:jc w:val="both"/>
        <w:rPr/>
      </w:pPr>
      <w:r>
        <w:rPr>
          <w:b/>
        </w:rPr>
        <w:tab/>
        <w:tab/>
      </w:r>
      <w:r>
        <w:rPr/>
        <w:t>(d)</w:t>
        <w:tab/>
        <w:t>To the fullest extent permitted by applicable law, any arbitration proceeding and the arbitrators’ award shall be maintained in confidence by the parties.</w:t>
      </w:r>
    </w:p>
    <w:p>
      <w:pPr>
        <w:pStyle w:val="Normal"/>
        <w:widowControl/>
        <w:jc w:val="both"/>
        <w:rPr>
          <w:color w:val="FF0000"/>
        </w:rPr>
      </w:pPr>
      <w:r>
        <w:rPr>
          <w:color w:val="FF0000"/>
        </w:rPr>
      </w:r>
    </w:p>
    <w:p>
      <w:pPr>
        <w:pStyle w:val="Normal"/>
        <w:keepNext w:val="true"/>
        <w:keepLines/>
        <w:widowControl/>
        <w:jc w:val="both"/>
        <w:rPr/>
      </w:pPr>
      <w:r>
        <w:rPr/>
        <w:tab/>
      </w:r>
      <w:r>
        <w:rPr>
          <w:b/>
        </w:rPr>
        <w:t>IN WITNESS WHEREOF</w:t>
      </w:r>
      <w:r>
        <w:rPr/>
        <w:t xml:space="preserve">, the parties hereto have caused this Agreement to be signed on their behalf by their duly authorized officers. </w:t>
      </w:r>
    </w:p>
    <w:p>
      <w:pPr>
        <w:pStyle w:val="Normal"/>
        <w:keepNext w:val="true"/>
        <w:keepLines/>
        <w:widowControl/>
        <w:jc w:val="both"/>
        <w:rPr/>
      </w:pPr>
      <w:r>
        <w:rPr/>
      </w:r>
    </w:p>
    <w:p>
      <w:pPr>
        <w:pStyle w:val="Normal"/>
        <w:keepNext w:val="true"/>
        <w:keepLines/>
        <w:widowControl/>
        <w:jc w:val="both"/>
        <w:rPr/>
      </w:pPr>
      <w:r>
        <w:rPr/>
        <w:tab/>
        <w:tab/>
        <w:tab/>
        <w:tab/>
        <w:tab/>
        <w:t>ENRON CORP.</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tab/>
        <w:tab/>
        <w:tab/>
        <w:tab/>
        <w:tab/>
        <w:t>By: _____________________________________________</w:t>
      </w:r>
    </w:p>
    <w:p>
      <w:pPr>
        <w:pStyle w:val="Normal"/>
        <w:keepNext w:val="true"/>
        <w:keepLines/>
        <w:widowControl/>
        <w:jc w:val="both"/>
        <w:rPr/>
      </w:pPr>
      <w:r>
        <w:rPr/>
        <w:tab/>
        <w:tab/>
        <w:tab/>
        <w:tab/>
        <w:tab/>
        <w:t xml:space="preserve">Name:  </w:t>
      </w:r>
    </w:p>
    <w:p>
      <w:pPr>
        <w:pStyle w:val="Normal"/>
        <w:keepNext w:val="true"/>
        <w:keepLines/>
        <w:widowControl/>
        <w:jc w:val="both"/>
        <w:rPr/>
      </w:pPr>
      <w:r>
        <w:rPr/>
        <w:tab/>
        <w:tab/>
        <w:tab/>
        <w:tab/>
        <w:tab/>
        <w:t>Title:</w:t>
      </w:r>
    </w:p>
    <w:p>
      <w:pPr>
        <w:pStyle w:val="Normal"/>
        <w:keepNext w:val="true"/>
        <w:keepLines/>
        <w:widowControl/>
        <w:jc w:val="both"/>
        <w:rPr/>
      </w:pPr>
      <w:r>
        <w:rPr/>
      </w:r>
    </w:p>
    <w:p>
      <w:pPr>
        <w:pStyle w:val="Normal"/>
        <w:keepNext w:val="true"/>
        <w:keepLines/>
        <w:widowControl/>
        <w:jc w:val="both"/>
        <w:rPr/>
      </w:pPr>
      <w:r>
        <w:rPr/>
        <w:tab/>
        <w:tab/>
        <w:tab/>
        <w:tab/>
        <w:tab/>
      </w:r>
    </w:p>
    <w:p>
      <w:pPr>
        <w:pStyle w:val="Normal"/>
        <w:keepNext w:val="true"/>
        <w:keepLines/>
        <w:widowControl/>
        <w:jc w:val="both"/>
        <w:rPr/>
      </w:pPr>
      <w:r>
        <w:rPr/>
        <w:tab/>
        <w:tab/>
        <w:tab/>
        <w:tab/>
        <w:tab/>
        <w:t>BSCS XXIII, INC.</w:t>
      </w:r>
    </w:p>
    <w:p>
      <w:pPr>
        <w:pStyle w:val="Normal"/>
        <w:keepNext w:val="true"/>
        <w:keepLines/>
        <w:widowControl/>
        <w:jc w:val="both"/>
        <w:rPr/>
      </w:pPr>
      <w:r>
        <w:rPr/>
      </w:r>
    </w:p>
    <w:p>
      <w:pPr>
        <w:pStyle w:val="Normal"/>
        <w:keepNext w:val="true"/>
        <w:keepLines/>
        <w:widowControl/>
        <w:jc w:val="both"/>
        <w:rPr/>
      </w:pPr>
      <w:r>
        <w:rPr/>
      </w:r>
    </w:p>
    <w:p>
      <w:pPr>
        <w:pStyle w:val="Normal"/>
        <w:widowControl/>
        <w:jc w:val="both"/>
        <w:rPr/>
      </w:pPr>
      <w:r>
        <w:rPr/>
        <w:tab/>
        <w:tab/>
        <w:tab/>
        <w:tab/>
        <w:tab/>
        <w:t>By:</w:t>
      </w:r>
      <w:r>
        <w:rPr>
          <w:b/>
          <w:u w:val="double"/>
        </w:rPr>
        <w:t>_____________________________________________</w:t>
      </w:r>
      <w:r>
        <w:rPr>
          <w:strike/>
        </w:rPr>
        <w:t xml:space="preserve">___________________________ </w:t>
      </w:r>
    </w:p>
    <w:p>
      <w:pPr>
        <w:pStyle w:val="Normal"/>
        <w:widowControl/>
        <w:jc w:val="both"/>
        <w:rPr/>
      </w:pPr>
      <w:r>
        <w:rPr/>
        <w:tab/>
        <w:tab/>
        <w:tab/>
        <w:tab/>
        <w:tab/>
        <w:tab/>
        <w:t>Name:</w:t>
        <w:tab/>
      </w:r>
    </w:p>
    <w:p>
      <w:pPr>
        <w:pStyle w:val="Normal"/>
        <w:widowControl/>
        <w:jc w:val="both"/>
        <w:rPr/>
      </w:pPr>
      <w:r>
        <w:rPr/>
        <w:tab/>
        <w:tab/>
        <w:tab/>
        <w:tab/>
        <w:tab/>
        <w:t>Title:</w:t>
        <w:tab/>
      </w:r>
    </w:p>
    <w:p>
      <w:pPr>
        <w:pStyle w:val="Normal"/>
        <w:widowControl/>
        <w:jc w:val="both"/>
        <w:rPr/>
      </w:pPr>
      <w:r>
        <w:rPr/>
      </w:r>
    </w:p>
    <w:p>
      <w:pPr>
        <w:pStyle w:val="Normal"/>
        <w:widowControl/>
        <w:jc w:val="both"/>
        <w:rPr/>
      </w:pPr>
      <w:r>
        <w:rPr/>
        <w:t>------------------ COMPARISON OF HEADERS ------------------</w:t>
      </w:r>
    </w:p>
    <w:p>
      <w:pPr>
        <w:pStyle w:val="Normal"/>
        <w:widowControl/>
        <w:jc w:val="both"/>
        <w:rPr/>
      </w:pPr>
      <w:r>
        <w:rPr/>
      </w:r>
    </w:p>
    <w:p>
      <w:pPr>
        <w:pStyle w:val="Normal"/>
        <w:widowControl/>
        <w:jc w:val="both"/>
        <w:rPr/>
      </w:pPr>
      <w:r>
        <w:rPr/>
        <w:t>-HEADER 1-</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COMPARISON OF FOOTERS ------------------</w:t>
      </w:r>
    </w:p>
    <w:p>
      <w:pPr>
        <w:pStyle w:val="Normal"/>
        <w:widowControl/>
        <w:jc w:val="both"/>
        <w:rPr/>
      </w:pPr>
      <w:r>
        <w:rPr/>
      </w:r>
    </w:p>
    <w:p>
      <w:pPr>
        <w:pStyle w:val="Normal"/>
        <w:widowControl/>
        <w:jc w:val="both"/>
        <w:rPr/>
      </w:pPr>
      <w:r>
        <w:rPr/>
        <w:t>-FOOTER 1-</w:t>
      </w:r>
    </w:p>
    <w:p>
      <w:pPr>
        <w:pStyle w:val="Normal"/>
        <w:widowControl/>
        <w:jc w:val="both"/>
        <w:rPr/>
      </w:pPr>
      <w:r>
        <w:rPr>
          <w:strike/>
        </w:rPr>
        <w:t>1</w:t>
      </w:r>
      <w:r>
        <w:rPr/>
        <w:t xml:space="preserve"> </w:t>
      </w:r>
      <w:r>
        <w:rPr>
          <w:b/>
          <w:u w:val="double"/>
        </w:rPr>
        <w:t>2</w:t>
      </w:r>
    </w:p>
    <w:p>
      <w:pPr>
        <w:pStyle w:val="Normal"/>
        <w:widowControl/>
        <w:jc w:val="both"/>
        <w:rPr/>
      </w:pPr>
      <w:r>
        <w:rPr/>
      </w:r>
    </w:p>
    <w:p>
      <w:pPr>
        <w:pStyle w:val="Normal"/>
        <w:widowControl/>
        <w:jc w:val="both"/>
        <w:rPr/>
      </w:pPr>
      <w:r>
        <w:rPr/>
      </w:r>
    </w:p>
    <w:p>
      <w:pPr>
        <w:pStyle w:val="Normal"/>
        <w:widowControl/>
        <w:jc w:val="both"/>
        <w:rPr/>
      </w:pPr>
      <w:r>
        <w:rPr/>
        <w:t xml:space="preserve">Houston: </w:t>
      </w:r>
      <w:r>
        <w:rPr>
          <w:strike/>
        </w:rPr>
        <w:t>237481</w:t>
      </w:r>
      <w:r>
        <w:rPr/>
        <w:t xml:space="preserve"> </w:t>
      </w:r>
      <w:r>
        <w:rPr>
          <w:b/>
          <w:u w:val="double"/>
        </w:rPr>
        <w:t>307946</w:t>
      </w:r>
      <w:r>
        <w:rPr/>
        <w:t xml:space="preserve"> v </w:t>
      </w:r>
      <w:r>
        <w:rPr>
          <w:strike/>
        </w:rPr>
        <w:t>3</w:t>
      </w:r>
      <w:r>
        <w:rPr/>
        <w:t xml:space="preserve"> </w:t>
      </w:r>
      <w:r>
        <w:rPr>
          <w:b/>
          <w:u w:val="double"/>
        </w:rPr>
        <w:t>2</w:t>
      </w:r>
    </w:p>
    <w:p>
      <w:pPr>
        <w:pStyle w:val="Normal"/>
        <w:widowControl/>
        <w:jc w:val="both"/>
        <w:rPr>
          <w:b/>
          <w:u w:val="double"/>
        </w:rPr>
      </w:pPr>
      <w:r>
        <w:rPr>
          <w:b/>
          <w:u w:val="double"/>
        </w:rPr>
        <w:t>D</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p>
    <w:pPr>
      <w:pStyle w:val="Footer"/>
      <w:widowControl/>
      <w:jc w:val="both"/>
      <w:rPr>
        <w:rStyle w:val="PageNumber"/>
        <w:sz w:val="16"/>
      </w:rPr>
    </w:pPr>
    <w:r>
      <w:rPr/>
    </w:r>
  </w:p>
  <w:p>
    <w:pPr>
      <w:pStyle w:val="Footer"/>
      <w:widowControl/>
      <w:jc w:val="both"/>
      <w:rPr>
        <w:rStyle w:val="PageNumber"/>
        <w:sz w:val="16"/>
      </w:rPr>
    </w:pPr>
    <w:r>
      <w:rPr/>
    </w:r>
  </w:p>
  <w:p>
    <w:pPr>
      <w:pStyle w:val="Footer"/>
      <w:widowControl/>
      <w:jc w:val="both"/>
      <w:rPr/>
    </w:pPr>
    <w:r>
      <w:rPr>
        <w:rStyle w:val="PageNumber"/>
        <w:sz w:val="16"/>
      </w:rPr>
      <w:t>Houston:307946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p>
    <w:pPr>
      <w:pStyle w:val="Footer"/>
      <w:widowControl/>
      <w:jc w:val="both"/>
      <w:rPr>
        <w:rStyle w:val="PageNumber"/>
        <w:sz w:val="16"/>
      </w:rPr>
    </w:pPr>
    <w:r>
      <w:rPr/>
    </w:r>
  </w:p>
  <w:p>
    <w:pPr>
      <w:pStyle w:val="Footer"/>
      <w:widowControl/>
      <w:jc w:val="both"/>
      <w:rPr>
        <w:rStyle w:val="PageNumber"/>
        <w:sz w:val="16"/>
      </w:rPr>
    </w:pPr>
    <w:r>
      <w:rPr/>
    </w:r>
  </w:p>
  <w:p>
    <w:pPr>
      <w:pStyle w:val="Footer"/>
      <w:widowControl/>
      <w:jc w:val="both"/>
      <w:rPr/>
    </w:pPr>
    <w:r>
      <w:rPr>
        <w:rStyle w:val="PageNumber"/>
        <w:sz w:val="16"/>
      </w:rPr>
      <w:t>Houston:307946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2000-08-28T16:07:00Z</dcterms:created>
  <dc:creator>Vinson &amp; Elkins L.L.P.</dc:creator>
  <dc:description/>
  <dc:language>en-CA</dc:language>
  <cp:lastModifiedBy>Vinson &amp; Elkins L.L.P.</cp:lastModifiedBy>
  <cp:lastPrinted>2000-08-28T12:56:00Z</cp:lastPrinted>
  <dcterms:modified xsi:type="dcterms:W3CDTF">2000-08-28T16:07:00Z</dcterms:modified>
  <cp:revision>2</cp:revision>
  <dc:subject/>
  <dc:title>Services Agreement</dc:title>
</cp:coreProperties>
</file>