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  <w:tab w:val="left" w:pos="540" w:leader="none"/>
        </w:tabs>
        <w:rPr/>
      </w:pPr>
      <w:r>
        <w:rPr/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Files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Greg Whiting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ENA – Trading Accounting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Accounting for Sithe Restructure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>Enron North America’s (“ENA”) gas sales contract with Sithe/Independence Power Partners LP (the “Partnership”) was restructured as of June 28, 2001.  The following are ENA – Trading Accounting’s impact of the restructure:</w:t>
      </w:r>
    </w:p>
    <w:p>
      <w:pPr>
        <w:pStyle w:val="Body"/>
        <w:rPr/>
      </w:pPr>
      <w:r>
        <w:rPr/>
      </w:r>
    </w:p>
    <w:p>
      <w:pPr>
        <w:pStyle w:val="Body"/>
        <w:numPr>
          <w:ilvl w:val="0"/>
          <w:numId w:val="2"/>
        </w:numPr>
        <w:rPr/>
      </w:pPr>
      <w:r>
        <w:rPr/>
        <w:t>Oswego Cogen Company, LLC acquired a 40% interest in the Partnership</w:t>
      </w:r>
    </w:p>
    <w:p>
      <w:pPr>
        <w:pStyle w:val="Body"/>
        <w:numPr>
          <w:ilvl w:val="1"/>
          <w:numId w:val="2"/>
        </w:numPr>
        <w:rPr/>
      </w:pPr>
      <w:r>
        <w:rPr/>
        <w:t>Oswego paid Cogeneration National Corporation $186,000,000 for its 40% interest in the Partnership</w:t>
      </w:r>
    </w:p>
    <w:p>
      <w:pPr>
        <w:pStyle w:val="Body"/>
        <w:numPr>
          <w:ilvl w:val="1"/>
          <w:numId w:val="2"/>
        </w:numPr>
        <w:rPr/>
      </w:pPr>
      <w:r>
        <w:rPr/>
        <w:t>Oswego has an investment valued at:</w:t>
      </w:r>
    </w:p>
    <w:p>
      <w:pPr>
        <w:pStyle w:val="Body"/>
        <w:numPr>
          <w:ilvl w:val="2"/>
          <w:numId w:val="2"/>
        </w:numPr>
        <w:rPr/>
      </w:pPr>
      <w:r>
        <w:rPr/>
        <w:t>$70,000,000 for the inside basis</w:t>
      </w:r>
    </w:p>
    <w:p>
      <w:pPr>
        <w:pStyle w:val="Body"/>
        <w:numPr>
          <w:ilvl w:val="2"/>
          <w:numId w:val="2"/>
        </w:numPr>
        <w:rPr/>
      </w:pPr>
      <w:r>
        <w:rPr/>
        <w:t>$417,109,135 for the outside basis.  The outside basis is attributable to contracts that have been signed through Dec 2015.  The outside basis is being amortized at $2,574,748 / month over that period.</w:t>
      </w:r>
    </w:p>
    <w:p>
      <w:pPr>
        <w:pStyle w:val="Body"/>
        <w:numPr>
          <w:ilvl w:val="0"/>
          <w:numId w:val="2"/>
        </w:numPr>
        <w:rPr/>
      </w:pPr>
      <w:r>
        <w:rPr/>
        <w:t>Oswego Cogen Company, LLC will record equity earnings based upon</w:t>
      </w:r>
    </w:p>
    <w:p>
      <w:pPr>
        <w:pStyle w:val="Body"/>
        <w:numPr>
          <w:ilvl w:val="1"/>
          <w:numId w:val="2"/>
        </w:numPr>
        <w:rPr/>
      </w:pPr>
      <w:r>
        <w:rPr/>
        <w:t>The actual financial statements received from the Partnership</w:t>
      </w:r>
    </w:p>
    <w:p>
      <w:pPr>
        <w:pStyle w:val="Body"/>
        <w:numPr>
          <w:ilvl w:val="1"/>
          <w:numId w:val="2"/>
        </w:numPr>
        <w:rPr/>
      </w:pPr>
      <w:r>
        <w:rPr/>
        <w:t>The estimates of the Partnership’s earnings provided to ENA Trading Accounting by ENA’s commercial group.  This estimate is based upon contractual obligations and is felt to be a reasonable measure of the Partnership’s earnings.</w:t>
      </w:r>
    </w:p>
    <w:p>
      <w:pPr>
        <w:pStyle w:val="Body"/>
        <w:numPr>
          <w:ilvl w:val="0"/>
          <w:numId w:val="2"/>
        </w:numPr>
        <w:rPr/>
      </w:pPr>
      <w:r>
        <w:rPr/>
        <w:t>Oswego Cogen Company, LLC will receive cash distributions from the Partnership</w:t>
      </w:r>
    </w:p>
    <w:p>
      <w:pPr>
        <w:pStyle w:val="Body"/>
        <w:numPr>
          <w:ilvl w:val="1"/>
          <w:numId w:val="2"/>
        </w:numPr>
        <w:rPr/>
      </w:pPr>
      <w:r>
        <w:rPr/>
        <w:t>Cash contributions are scheduled to be quarterly</w:t>
      </w:r>
    </w:p>
    <w:p>
      <w:pPr>
        <w:pStyle w:val="Body"/>
        <w:numPr>
          <w:ilvl w:val="1"/>
          <w:numId w:val="2"/>
        </w:numPr>
        <w:rPr/>
      </w:pPr>
      <w:r>
        <w:rPr/>
        <w:t>The GP (Sithe/Independence Inc.) has authority to cancel distributions if it deems necessary</w:t>
      </w:r>
    </w:p>
    <w:p>
      <w:pPr>
        <w:pStyle w:val="Body"/>
        <w:numPr>
          <w:ilvl w:val="0"/>
          <w:numId w:val="2"/>
        </w:numPr>
        <w:rPr/>
      </w:pPr>
      <w:r>
        <w:rPr/>
        <w:t>ENA’s tracking accounting with the Partnership was transformed to a long term Note Receivable for $419,282,193</w:t>
      </w:r>
    </w:p>
    <w:p>
      <w:pPr>
        <w:pStyle w:val="Body"/>
        <w:numPr>
          <w:ilvl w:val="1"/>
          <w:numId w:val="2"/>
        </w:numPr>
        <w:rPr/>
      </w:pPr>
      <w:r>
        <w:rPr/>
        <w:t>The note accrues interest at a flat rate of 7.0%</w:t>
      </w:r>
    </w:p>
    <w:p>
      <w:pPr>
        <w:pStyle w:val="Body"/>
        <w:numPr>
          <w:ilvl w:val="2"/>
          <w:numId w:val="2"/>
        </w:numPr>
        <w:rPr/>
      </w:pPr>
      <w:r>
        <w:rPr/>
        <w:t>Interest is accrued monthly</w:t>
      </w:r>
    </w:p>
    <w:p>
      <w:pPr>
        <w:pStyle w:val="Body"/>
        <w:numPr>
          <w:ilvl w:val="2"/>
          <w:numId w:val="2"/>
        </w:numPr>
        <w:rPr/>
      </w:pPr>
      <w:r>
        <w:rPr/>
        <w:t xml:space="preserve">The Partnership must pay ENA for all </w:t>
      </w:r>
      <w:r>
        <w:rPr>
          <w:b/>
          <w:bCs/>
        </w:rPr>
        <w:t>accrued</w:t>
      </w:r>
      <w:r>
        <w:rPr/>
        <w:t xml:space="preserve"> </w:t>
      </w:r>
      <w:r>
        <w:rPr>
          <w:b/>
          <w:bCs/>
        </w:rPr>
        <w:t>interest amounts only</w:t>
      </w:r>
      <w:r>
        <w:rPr/>
        <w:t xml:space="preserve"> on June 1</w:t>
      </w:r>
      <w:r>
        <w:rPr>
          <w:vertAlign w:val="superscript"/>
        </w:rPr>
        <w:t>st</w:t>
      </w:r>
      <w:r>
        <w:rPr/>
        <w:t xml:space="preserve"> and December 1</w:t>
      </w:r>
      <w:r>
        <w:rPr>
          <w:vertAlign w:val="superscript"/>
        </w:rPr>
        <w:t>st</w:t>
      </w:r>
      <w:r>
        <w:rPr/>
        <w:t xml:space="preserve"> through May 2015.  No principal is due during this period.</w:t>
      </w:r>
    </w:p>
    <w:p>
      <w:pPr>
        <w:pStyle w:val="Body"/>
        <w:numPr>
          <w:ilvl w:val="2"/>
          <w:numId w:val="2"/>
        </w:numPr>
        <w:rPr/>
      </w:pPr>
      <w:r>
        <w:rPr/>
        <w:t>From June 2015 through Dec 2034 the Partnership will pay ENA $20,034,529 on June 1</w:t>
      </w:r>
      <w:r>
        <w:rPr>
          <w:vertAlign w:val="superscript"/>
        </w:rPr>
        <w:t>st</w:t>
      </w:r>
      <w:r>
        <w:rPr/>
        <w:t xml:space="preserve"> and December 1</w:t>
      </w:r>
      <w:r>
        <w:rPr>
          <w:vertAlign w:val="superscript"/>
        </w:rPr>
        <w:t>st</w:t>
      </w:r>
      <w:r>
        <w:rPr/>
        <w:t xml:space="preserve"> that will be a flat payoff of both principal and interest.</w:t>
      </w:r>
    </w:p>
    <w:p>
      <w:pPr>
        <w:pStyle w:val="Body"/>
        <w:numPr>
          <w:ilvl w:val="1"/>
          <w:numId w:val="2"/>
        </w:numPr>
        <w:rPr/>
      </w:pPr>
      <w:r>
        <w:rPr/>
        <w:t>Interest not paid on time CANNOT be added to the Note balance</w:t>
      </w:r>
    </w:p>
    <w:p>
      <w:pPr>
        <w:pStyle w:val="Body"/>
        <w:numPr>
          <w:ilvl w:val="1"/>
          <w:numId w:val="2"/>
        </w:numPr>
        <w:rPr/>
      </w:pPr>
      <w:r>
        <w:rPr/>
        <w:t>All late payments will accrue interest at the Default Interest Rate as defined in the contract (final Eastern edition Wall Street Journal Prime Rate + 1.0%)</w:t>
      </w:r>
    </w:p>
    <w:p>
      <w:pPr>
        <w:pStyle w:val="Body"/>
        <w:numPr>
          <w:ilvl w:val="0"/>
          <w:numId w:val="2"/>
        </w:numPr>
        <w:rPr/>
      </w:pPr>
      <w:r>
        <w:rPr/>
        <w:t>ENA recorded an intangible asset of $346,986,513</w:t>
      </w:r>
    </w:p>
    <w:p>
      <w:pPr>
        <w:pStyle w:val="Body"/>
        <w:numPr>
          <w:ilvl w:val="1"/>
          <w:numId w:val="2"/>
        </w:numPr>
        <w:rPr/>
      </w:pPr>
      <w:r>
        <w:rPr/>
        <w:t>This asset relates to value ENA will derive from having access to information from the Partnership</w:t>
      </w:r>
    </w:p>
    <w:p>
      <w:pPr>
        <w:pStyle w:val="Body"/>
        <w:numPr>
          <w:ilvl w:val="1"/>
          <w:numId w:val="2"/>
        </w:numPr>
        <w:rPr/>
      </w:pPr>
      <w:r>
        <w:rPr/>
        <w:t>The estimated life of the plant is 25 years and therefore the intangible will be amortized at $1,156,622/month over this period.</w:t>
      </w:r>
    </w:p>
    <w:p>
      <w:pPr>
        <w:pStyle w:val="Body"/>
        <w:ind w:start="792" w:end="0"/>
        <w:rPr/>
      </w:pPr>
      <w:r>
        <w:rPr/>
      </w:r>
    </w:p>
    <w:p>
      <w:pPr>
        <w:pStyle w:val="Body"/>
        <w:rPr/>
      </w:pPr>
      <w:r>
        <w:rPr>
          <w:rFonts w:eastAsia="Arial"/>
        </w:rPr>
        <w:t xml:space="preserve"> </w:t>
      </w:r>
      <w:r>
        <w:rPr/>
        <w:t>CC: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3600" w:leader="none"/>
        <w:tab w:val="left" w:pos="4770" w:leader="none"/>
        <w:tab w:val="left" w:pos="648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2523490</wp:posOffset>
              </wp:positionH>
              <wp:positionV relativeFrom="paragraph">
                <wp:posOffset>635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0.05pt;mso-position-vertical-relative:text;margin-left:198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92"/>
        </w:tabs>
        <w:ind w:start="792" w:hanging="360"/>
      </w:pPr>
    </w:lvl>
    <w:lvl w:ilvl="1">
      <w:start w:val="1"/>
      <w:numFmt w:val="lowerLetter"/>
      <w:lvlText w:val="%2."/>
      <w:lvlJc w:val="start"/>
      <w:pPr>
        <w:tabs>
          <w:tab w:val="num" w:pos="1512"/>
        </w:tabs>
        <w:ind w:start="1512" w:hanging="360"/>
      </w:pPr>
    </w:lvl>
    <w:lvl w:ilvl="2">
      <w:start w:val="1"/>
      <w:numFmt w:val="lowerRoman"/>
      <w:lvlText w:val="%3."/>
      <w:lvlJc w:val="end"/>
      <w:pPr>
        <w:tabs>
          <w:tab w:val="num" w:pos="2232"/>
        </w:tabs>
        <w:ind w:start="2232" w:hanging="180"/>
      </w:pPr>
    </w:lvl>
    <w:lvl w:ilvl="3">
      <w:start w:val="1"/>
      <w:numFmt w:val="decimal"/>
      <w:lvlText w:val="%4."/>
      <w:lvlJc w:val="start"/>
      <w:pPr>
        <w:tabs>
          <w:tab w:val="num" w:pos="2952"/>
        </w:tabs>
        <w:ind w:start="2952" w:hanging="360"/>
      </w:pPr>
    </w:lvl>
    <w:lvl w:ilvl="4">
      <w:start w:val="1"/>
      <w:numFmt w:val="lowerLetter"/>
      <w:lvlText w:val="%5."/>
      <w:lvlJc w:val="start"/>
      <w:pPr>
        <w:tabs>
          <w:tab w:val="num" w:pos="3672"/>
        </w:tabs>
        <w:ind w:start="3672" w:hanging="360"/>
      </w:pPr>
    </w:lvl>
    <w:lvl w:ilvl="5">
      <w:start w:val="1"/>
      <w:numFmt w:val="lowerRoman"/>
      <w:lvlText w:val="%6."/>
      <w:lvlJc w:val="end"/>
      <w:pPr>
        <w:tabs>
          <w:tab w:val="num" w:pos="4392"/>
        </w:tabs>
        <w:ind w:start="4392" w:hanging="180"/>
      </w:pPr>
    </w:lvl>
    <w:lvl w:ilvl="6">
      <w:start w:val="1"/>
      <w:numFmt w:val="decimal"/>
      <w:lvlText w:val="%7."/>
      <w:lvlJc w:val="start"/>
      <w:pPr>
        <w:tabs>
          <w:tab w:val="num" w:pos="5112"/>
        </w:tabs>
        <w:ind w:start="5112" w:hanging="360"/>
      </w:pPr>
    </w:lvl>
    <w:lvl w:ilvl="7">
      <w:start w:val="1"/>
      <w:numFmt w:val="lowerLetter"/>
      <w:lvlText w:val="%8."/>
      <w:lvlJc w:val="start"/>
      <w:pPr>
        <w:tabs>
          <w:tab w:val="num" w:pos="5832"/>
        </w:tabs>
        <w:ind w:start="5832" w:hanging="360"/>
      </w:pPr>
    </w:lvl>
    <w:lvl w:ilvl="8">
      <w:start w:val="1"/>
      <w:numFmt w:val="lowerRoman"/>
      <w:lvlText w:val="%9."/>
      <w:lvlJc w:val="end"/>
      <w:pPr>
        <w:tabs>
          <w:tab w:val="num" w:pos="6552"/>
        </w:tabs>
        <w:ind w:start="6552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" w:hAnsi="CG Times" w:cs="CG Time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EnronMemo.dot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2001-09-14T15:55:00Z</dcterms:created>
  <dc:creator>Bonzo the Wonder Dog x35399</dc:creator>
  <dc:description/>
  <dc:language>en-CA</dc:language>
  <cp:lastModifiedBy>Bonzo the Wonder Dog x35399</cp:lastModifiedBy>
  <cp:lastPrinted>2001-09-14T14:10:00Z</cp:lastPrinted>
  <dcterms:modified xsi:type="dcterms:W3CDTF">2001-09-14T16:42:00Z</dcterms:modified>
  <cp:revision>5</cp:revision>
  <dc:subject/>
  <dc:title>Better, Faster, Simpler Memo </dc:title>
</cp:coreProperties>
</file>