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360"/>
        <w:rPr>
          <w:sz w:val="21"/>
        </w:rPr>
      </w:pPr>
      <w:r>
        <w:rPr>
          <w:sz w:val="21"/>
        </w:rPr>
        <w:t>November 1, 2000</w:t>
      </w:r>
    </w:p>
    <w:p>
      <w:pPr>
        <w:pStyle w:val="Normal"/>
        <w:ind w:start="720" w:end="360"/>
        <w:rPr>
          <w:sz w:val="21"/>
        </w:rPr>
      </w:pPr>
      <w:r>
        <w:rPr>
          <w:sz w:val="21"/>
        </w:rPr>
      </w:r>
    </w:p>
    <w:p>
      <w:pPr>
        <w:pStyle w:val="Normal"/>
        <w:ind w:start="720" w:end="360"/>
        <w:rPr>
          <w:sz w:val="21"/>
        </w:rPr>
      </w:pPr>
      <w:r>
        <w:rPr>
          <w:sz w:val="21"/>
        </w:rPr>
      </w:r>
    </w:p>
    <w:p>
      <w:pPr>
        <w:pStyle w:val="Normal"/>
        <w:ind w:start="720" w:end="360"/>
        <w:rPr>
          <w:sz w:val="21"/>
        </w:rPr>
      </w:pPr>
      <w:r>
        <w:rPr>
          <w:sz w:val="21"/>
        </w:rPr>
      </w:r>
    </w:p>
    <w:p>
      <w:pPr>
        <w:pStyle w:val="Normal"/>
        <w:ind w:start="720" w:end="360"/>
        <w:rPr>
          <w:sz w:val="21"/>
        </w:rPr>
      </w:pPr>
      <w:r>
        <w:rPr>
          <w:sz w:val="21"/>
        </w:rPr>
        <w:t>Enron North America Corp.</w:t>
      </w:r>
    </w:p>
    <w:p>
      <w:pPr>
        <w:pStyle w:val="Normal"/>
        <w:ind w:start="720" w:end="360"/>
        <w:rPr>
          <w:sz w:val="21"/>
        </w:rPr>
      </w:pPr>
      <w:r>
        <w:rPr>
          <w:sz w:val="21"/>
        </w:rPr>
        <w:t>P.O. Box 1188</w:t>
      </w:r>
    </w:p>
    <w:p>
      <w:pPr>
        <w:pStyle w:val="Normal"/>
        <w:ind w:start="720" w:end="360"/>
        <w:rPr>
          <w:sz w:val="21"/>
        </w:rPr>
      </w:pPr>
      <w:r>
        <w:rPr>
          <w:sz w:val="21"/>
        </w:rPr>
        <w:t>Houston, TX 77251-1188</w:t>
      </w:r>
    </w:p>
    <w:p>
      <w:pPr>
        <w:pStyle w:val="Normal"/>
        <w:ind w:start="720" w:end="360"/>
        <w:rPr>
          <w:sz w:val="21"/>
        </w:rPr>
      </w:pPr>
      <w:r>
        <w:rPr>
          <w:sz w:val="21"/>
        </w:rPr>
      </w:r>
    </w:p>
    <w:p>
      <w:pPr>
        <w:pStyle w:val="Normal"/>
        <w:ind w:start="720" w:end="360"/>
        <w:rPr>
          <w:sz w:val="21"/>
        </w:rPr>
      </w:pPr>
      <w:r>
        <w:rPr>
          <w:sz w:val="21"/>
        </w:rPr>
        <w:t>Attn:  Jeffrey M. Donahue, Jr.</w:t>
      </w:r>
    </w:p>
    <w:p>
      <w:pPr>
        <w:pStyle w:val="Normal"/>
        <w:ind w:start="720" w:end="360"/>
        <w:rPr>
          <w:sz w:val="21"/>
        </w:rPr>
      </w:pPr>
      <w:r>
        <w:rPr>
          <w:sz w:val="21"/>
        </w:rPr>
        <w:t xml:space="preserve">          </w:t>
      </w:r>
      <w:r>
        <w:rPr>
          <w:sz w:val="21"/>
        </w:rPr>
        <w:t>Managing Director</w:t>
      </w:r>
    </w:p>
    <w:p>
      <w:pPr>
        <w:pStyle w:val="Normal"/>
        <w:ind w:start="720" w:end="360"/>
        <w:jc w:val="center"/>
        <w:rPr>
          <w:sz w:val="21"/>
        </w:rPr>
      </w:pPr>
      <w:r>
        <w:rPr>
          <w:sz w:val="21"/>
        </w:rPr>
      </w:r>
    </w:p>
    <w:p>
      <w:pPr>
        <w:pStyle w:val="Normal"/>
        <w:ind w:start="720" w:end="360"/>
        <w:rPr>
          <w:sz w:val="21"/>
        </w:rPr>
      </w:pPr>
      <w:r>
        <w:rPr>
          <w:sz w:val="21"/>
        </w:rPr>
        <w:t>Re:  MW Turndown Transactions under Enfolio Master Spot Purchase/Sale Agreement – Fourth Quarter 2000</w:t>
      </w:r>
    </w:p>
    <w:p>
      <w:pPr>
        <w:pStyle w:val="Normal"/>
        <w:ind w:start="720" w:end="360"/>
        <w:rPr>
          <w:sz w:val="21"/>
        </w:rPr>
      </w:pPr>
      <w:r>
        <w:rPr>
          <w:sz w:val="21"/>
        </w:rPr>
      </w:r>
    </w:p>
    <w:p>
      <w:pPr>
        <w:pStyle w:val="Normal"/>
        <w:ind w:start="720" w:end="360"/>
        <w:rPr>
          <w:sz w:val="21"/>
        </w:rPr>
      </w:pPr>
      <w:r>
        <w:rPr>
          <w:sz w:val="21"/>
        </w:rPr>
        <w:t>Gentlemen:</w:t>
      </w:r>
    </w:p>
    <w:p>
      <w:pPr>
        <w:pStyle w:val="Normal"/>
        <w:ind w:start="720" w:end="360"/>
        <w:rPr>
          <w:sz w:val="21"/>
        </w:rPr>
      </w:pPr>
      <w:r>
        <w:rPr>
          <w:sz w:val="21"/>
        </w:rPr>
      </w:r>
    </w:p>
    <w:p>
      <w:pPr>
        <w:pStyle w:val="Normal"/>
        <w:ind w:start="720" w:end="360"/>
        <w:rPr>
          <w:sz w:val="21"/>
        </w:rPr>
      </w:pPr>
      <w:r>
        <w:rPr>
          <w:sz w:val="21"/>
        </w:rPr>
        <w:t>Sithe and Enron hereby agree that an additional calculation will be made at the when preparing the final invoice for the Transactions under the referenced Agreement which were effective during the referenced time period.  This calculation will determine what additional cash true-up payment, if any, which will be paid by Sithe so that the parties share any negative values calculated under Part (b) of the Contract Price under the Transaction Agreements during the referenced period.  If the final calculation for the referenced period, as is shown on the attached example, is determined to also be a negative value, the additional cash true-up payment will be limited to the sum of the positive values calculated under Part (b) of the Contract Price that were effective during the referenced time period.</w:t>
      </w:r>
    </w:p>
    <w:p>
      <w:pPr>
        <w:pStyle w:val="Normal"/>
        <w:ind w:start="720" w:end="360"/>
        <w:rPr>
          <w:sz w:val="21"/>
        </w:rPr>
      </w:pPr>
      <w:r>
        <w:rPr>
          <w:sz w:val="21"/>
        </w:rPr>
      </w:r>
    </w:p>
    <w:p>
      <w:pPr>
        <w:pStyle w:val="Normal"/>
        <w:ind w:start="720" w:end="360"/>
        <w:rPr>
          <w:sz w:val="21"/>
        </w:rPr>
      </w:pPr>
      <w:r>
        <w:rPr>
          <w:sz w:val="21"/>
        </w:rPr>
        <w:t>The parties agree that the cash true-up payment to be made by Sithe will be netted against the final invoice for the referenced period.  Should the final invoice for the referenced period have already been paid occur prior to determining the cash true-up payment for the period, the parties agree that a separate payment be made by Sithe for the applicable cash true-up amount.  In the event that for whatever reason, that this separate payment is not timely paid by Sithe, the parties agree that the payment terms under the Transaction Agreements will control.</w:t>
      </w:r>
    </w:p>
    <w:p>
      <w:pPr>
        <w:pStyle w:val="Normal"/>
        <w:ind w:start="720" w:end="360"/>
        <w:rPr>
          <w:sz w:val="21"/>
        </w:rPr>
      </w:pPr>
      <w:r>
        <w:rPr>
          <w:sz w:val="21"/>
        </w:rPr>
      </w:r>
    </w:p>
    <w:p>
      <w:pPr>
        <w:pStyle w:val="Normal"/>
        <w:ind w:start="720" w:end="360"/>
        <w:rPr>
          <w:sz w:val="21"/>
        </w:rPr>
      </w:pPr>
      <w:r>
        <w:rPr>
          <w:sz w:val="21"/>
        </w:rPr>
        <w:t>This letter agreement shall be governed by and construed in accordance with the law of the State of New York, and may not be amended or supplemented unless such amendment or supplement is in writing and executed by the parties. This letter agreement may be executed in counterparts, all of which together shall constitute one letter agreement.</w:t>
      </w:r>
    </w:p>
    <w:p>
      <w:pPr>
        <w:pStyle w:val="Normal"/>
        <w:ind w:start="720" w:end="360"/>
        <w:rPr>
          <w:sz w:val="21"/>
        </w:rPr>
      </w:pPr>
      <w:r>
        <w:rPr>
          <w:sz w:val="21"/>
        </w:rPr>
      </w:r>
    </w:p>
    <w:p>
      <w:pPr>
        <w:pStyle w:val="Normal"/>
        <w:ind w:start="720" w:end="360"/>
        <w:rPr>
          <w:sz w:val="21"/>
        </w:rPr>
      </w:pPr>
      <w:r>
        <w:rPr>
          <w:sz w:val="21"/>
        </w:rPr>
        <w:tab/>
        <w:tab/>
        <w:tab/>
        <w:tab/>
        <w:tab/>
        <w:tab/>
        <w:tab/>
        <w:t xml:space="preserve">SITHE/INDEPENDENCE POWER </w:t>
      </w:r>
    </w:p>
    <w:p>
      <w:pPr>
        <w:pStyle w:val="Normal"/>
        <w:ind w:start="5760" w:end="360"/>
        <w:rPr>
          <w:sz w:val="21"/>
        </w:rPr>
      </w:pPr>
      <w:r>
        <w:rPr>
          <w:sz w:val="21"/>
        </w:rPr>
        <w:t>PARTNERS, L.P.</w:t>
      </w:r>
    </w:p>
    <w:p>
      <w:pPr>
        <w:pStyle w:val="Normal"/>
        <w:ind w:start="5760" w:end="360"/>
        <w:rPr>
          <w:sz w:val="21"/>
        </w:rPr>
      </w:pPr>
      <w:r>
        <w:rPr>
          <w:sz w:val="21"/>
        </w:rPr>
      </w:r>
    </w:p>
    <w:p>
      <w:pPr>
        <w:pStyle w:val="Normal"/>
        <w:ind w:start="5760" w:end="360"/>
        <w:rPr>
          <w:sz w:val="21"/>
        </w:rPr>
      </w:pPr>
      <w:r>
        <w:rPr>
          <w:sz w:val="21"/>
        </w:rPr>
        <w:t>By:    Sithe/Independence, Inc.</w:t>
      </w:r>
    </w:p>
    <w:p>
      <w:pPr>
        <w:pStyle w:val="Normal"/>
        <w:ind w:start="5760" w:end="360"/>
        <w:rPr>
          <w:sz w:val="21"/>
        </w:rPr>
      </w:pPr>
      <w:r>
        <w:rPr>
          <w:sz w:val="21"/>
        </w:rPr>
        <w:t xml:space="preserve">         </w:t>
      </w:r>
      <w:r>
        <w:rPr>
          <w:sz w:val="21"/>
        </w:rPr>
        <w:t>its General Partner</w:t>
      </w:r>
    </w:p>
    <w:p>
      <w:pPr>
        <w:pStyle w:val="Normal"/>
        <w:ind w:start="5760" w:end="360"/>
        <w:rPr>
          <w:sz w:val="21"/>
        </w:rPr>
      </w:pPr>
      <w:r>
        <w:rPr>
          <w:sz w:val="21"/>
        </w:rPr>
        <w:t xml:space="preserve">        </w:t>
      </w:r>
    </w:p>
    <w:p>
      <w:pPr>
        <w:pStyle w:val="Normal"/>
        <w:ind w:start="5760" w:end="360"/>
        <w:rPr>
          <w:sz w:val="21"/>
        </w:rPr>
      </w:pPr>
      <w:r>
        <w:rPr>
          <w:sz w:val="21"/>
        </w:rPr>
        <w:t>By:  _______________________</w:t>
      </w:r>
    </w:p>
    <w:p>
      <w:pPr>
        <w:pStyle w:val="Normal"/>
        <w:ind w:firstLine="720" w:start="5040" w:end="360"/>
        <w:rPr>
          <w:sz w:val="21"/>
        </w:rPr>
      </w:pPr>
      <w:r>
        <w:rPr>
          <w:sz w:val="21"/>
        </w:rPr>
        <w:t xml:space="preserve">       </w:t>
      </w:r>
      <w:r>
        <w:rPr>
          <w:sz w:val="21"/>
        </w:rPr>
        <w:t>Name:  _________________</w:t>
      </w:r>
    </w:p>
    <w:p>
      <w:pPr>
        <w:pStyle w:val="Normal"/>
        <w:ind w:start="5760" w:end="360"/>
        <w:rPr>
          <w:sz w:val="21"/>
        </w:rPr>
      </w:pPr>
      <w:r>
        <w:rPr>
          <w:sz w:val="21"/>
        </w:rPr>
        <w:t xml:space="preserve">       </w:t>
      </w:r>
      <w:r>
        <w:rPr>
          <w:sz w:val="21"/>
        </w:rPr>
        <w:t>Title:  __________________</w:t>
      </w:r>
    </w:p>
    <w:p>
      <w:pPr>
        <w:pStyle w:val="Normal"/>
        <w:ind w:start="720" w:end="360"/>
        <w:rPr>
          <w:sz w:val="21"/>
        </w:rPr>
      </w:pPr>
      <w:r>
        <w:rPr>
          <w:sz w:val="21"/>
        </w:rPr>
      </w:r>
    </w:p>
    <w:p>
      <w:pPr>
        <w:pStyle w:val="Normal"/>
        <w:ind w:start="720" w:end="360"/>
        <w:rPr>
          <w:sz w:val="21"/>
        </w:rPr>
      </w:pPr>
      <w:r>
        <w:rPr>
          <w:sz w:val="21"/>
        </w:rPr>
        <w:t>Accepted and Agreed:</w:t>
      </w:r>
    </w:p>
    <w:p>
      <w:pPr>
        <w:pStyle w:val="Normal"/>
        <w:ind w:start="720" w:end="360"/>
        <w:rPr>
          <w:sz w:val="21"/>
        </w:rPr>
      </w:pPr>
      <w:r>
        <w:rPr>
          <w:sz w:val="21"/>
        </w:rPr>
        <w:t>ENRON NORTH AMERICA CORP.</w:t>
      </w:r>
    </w:p>
    <w:p>
      <w:pPr>
        <w:pStyle w:val="Normal"/>
        <w:ind w:start="720" w:end="360"/>
        <w:rPr>
          <w:sz w:val="21"/>
        </w:rPr>
      </w:pPr>
      <w:r>
        <w:rPr>
          <w:sz w:val="21"/>
        </w:rPr>
      </w:r>
    </w:p>
    <w:p>
      <w:pPr>
        <w:pStyle w:val="Normal"/>
        <w:ind w:start="720" w:end="360"/>
        <w:rPr>
          <w:sz w:val="21"/>
        </w:rPr>
      </w:pPr>
      <w:r>
        <w:rPr>
          <w:sz w:val="21"/>
        </w:rPr>
        <w:t>By: __________________________</w:t>
      </w:r>
    </w:p>
    <w:p>
      <w:pPr>
        <w:pStyle w:val="Normal"/>
        <w:ind w:start="720" w:end="360"/>
        <w:rPr>
          <w:sz w:val="21"/>
        </w:rPr>
      </w:pPr>
      <w:r>
        <w:rPr>
          <w:sz w:val="21"/>
        </w:rPr>
        <w:t>Name:  _______________________</w:t>
      </w:r>
    </w:p>
    <w:p>
      <w:pPr>
        <w:pStyle w:val="Normal"/>
        <w:ind w:start="720" w:end="360"/>
        <w:rPr>
          <w:sz w:val="21"/>
        </w:rPr>
      </w:pPr>
      <w:r>
        <w:rPr>
          <w:sz w:val="21"/>
        </w:rPr>
        <w:t>Title:  ________________________</w:t>
      </w:r>
    </w:p>
    <w:p>
      <w:pPr>
        <w:pStyle w:val="Normal"/>
        <w:ind w:start="720" w:end="360"/>
        <w:rPr>
          <w:sz w:val="21"/>
        </w:rPr>
      </w:pPr>
      <w:r>
        <w:rPr>
          <w:sz w:val="21"/>
        </w:rPr>
      </w:r>
    </w:p>
    <w:p>
      <w:pPr>
        <w:pStyle w:val="Normal"/>
        <w:ind w:start="720" w:end="360"/>
        <w:rPr>
          <w:sz w:val="21"/>
        </w:rPr>
      </w:pPr>
      <w:r>
        <w:rPr>
          <w:sz w:val="21"/>
        </w:rPr>
        <w:tab/>
        <w:tab/>
        <w:tab/>
        <w:tab/>
        <w:tab/>
        <w:tab/>
        <w:tab/>
      </w:r>
    </w:p>
    <w:p>
      <w:pPr>
        <w:pStyle w:val="Normal"/>
        <w:ind w:start="720" w:end="0"/>
        <w:rPr>
          <w:sz w:val="21"/>
        </w:rPr>
      </w:pPr>
      <w:r>
        <w:rPr>
          <w:sz w:val="21"/>
        </w:rPr>
      </w:r>
    </w:p>
    <w:p>
      <w:pPr>
        <w:pStyle w:val="Heading3"/>
        <w:rPr/>
      </w:pPr>
      <w:r>
        <w:rPr/>
        <w:t>EXAMPLE  CALCULATIONS</w:t>
      </w:r>
    </w:p>
    <w:p>
      <w:pPr>
        <w:pStyle w:val="Normal"/>
        <w:ind w:start="720" w:end="0"/>
        <w:rPr>
          <w:sz w:val="17"/>
        </w:rPr>
      </w:pPr>
      <w:r>
        <w:rPr>
          <w:sz w:val="17"/>
        </w:rPr>
      </w:r>
    </w:p>
    <w:p>
      <w:pPr>
        <w:pStyle w:val="Normal"/>
        <w:ind w:start="720" w:end="0"/>
        <w:rPr>
          <w:sz w:val="17"/>
        </w:rPr>
      </w:pPr>
      <w:r>
        <w:rPr>
          <w:sz w:val="17"/>
        </w:rPr>
        <w:tab/>
        <w:tab/>
        <w:tab/>
        <w:tab/>
        <w:tab/>
        <w:tab/>
        <w:tab/>
        <w:tab/>
        <w:tab/>
        <w:tab/>
        <w:tab/>
        <w:t xml:space="preserve">          Sithe</w:t>
        <w:tab/>
        <w:t xml:space="preserve">     Enron</w:t>
      </w:r>
    </w:p>
    <w:p>
      <w:pPr>
        <w:pStyle w:val="Normal"/>
        <w:ind w:start="720" w:end="0"/>
        <w:rPr>
          <w:sz w:val="17"/>
          <w:u w:val="single"/>
        </w:rPr>
      </w:pPr>
      <w:r>
        <w:rPr>
          <w:sz w:val="17"/>
          <w:u w:val="single"/>
        </w:rPr>
        <w:t>Month</w:t>
        <w:tab/>
        <w:tab/>
        <w:t>Part(a)</w:t>
        <w:tab/>
        <w:tab/>
        <w:t>50% x [F - G - Part(a)]</w:t>
        <w:tab/>
        <w:t xml:space="preserve">Part(b)       </w:t>
        <w:tab/>
        <w:t>Net Payment</w:t>
        <w:tab/>
        <w:t>True-Up Payment</w:t>
        <w:tab/>
        <w:t>Net Payment</w:t>
      </w:r>
    </w:p>
    <w:p>
      <w:pPr>
        <w:pStyle w:val="Normal"/>
        <w:ind w:start="720" w:end="0"/>
        <w:rPr>
          <w:sz w:val="17"/>
          <w:u w:val="single"/>
        </w:rPr>
      </w:pPr>
      <w:r>
        <w:rPr>
          <w:sz w:val="17"/>
          <w:u w:val="single"/>
        </w:rPr>
      </w:r>
    </w:p>
    <w:p>
      <w:pPr>
        <w:pStyle w:val="Normal"/>
        <w:ind w:start="720" w:end="0"/>
        <w:rPr>
          <w:sz w:val="17"/>
        </w:rPr>
      </w:pPr>
      <w:r>
        <w:rPr>
          <w:sz w:val="17"/>
        </w:rPr>
      </w:r>
    </w:p>
    <w:p>
      <w:pPr>
        <w:pStyle w:val="Normal"/>
        <w:ind w:start="720" w:end="0"/>
        <w:rPr>
          <w:sz w:val="17"/>
        </w:rPr>
      </w:pPr>
      <w:r>
        <w:rPr>
          <w:sz w:val="17"/>
        </w:rPr>
      </w:r>
    </w:p>
    <w:p>
      <w:pPr>
        <w:pStyle w:val="Heading2"/>
        <w:rPr>
          <w:b/>
          <w:sz w:val="17"/>
          <w:u w:val="none"/>
        </w:rPr>
      </w:pPr>
      <w:r>
        <w:rPr>
          <w:b/>
          <w:sz w:val="17"/>
          <w:u w:val="none"/>
        </w:rPr>
        <w:t>Example 1</w:t>
      </w:r>
    </w:p>
    <w:p>
      <w:pPr>
        <w:pStyle w:val="Normal"/>
        <w:ind w:start="720" w:end="0"/>
        <w:rPr>
          <w:b/>
          <w:sz w:val="17"/>
          <w:u w:val="none"/>
        </w:rPr>
      </w:pPr>
      <w:r>
        <w:rPr>
          <w:b/>
          <w:sz w:val="17"/>
          <w:u w:val="none"/>
        </w:rPr>
      </w:r>
    </w:p>
    <w:p>
      <w:pPr>
        <w:pStyle w:val="Normal"/>
        <w:ind w:start="720" w:end="0"/>
        <w:rPr>
          <w:b/>
          <w:sz w:val="17"/>
        </w:rPr>
      </w:pPr>
      <w:r>
        <w:rPr>
          <w:b/>
          <w:sz w:val="17"/>
        </w:rPr>
      </w:r>
    </w:p>
    <w:p>
      <w:pPr>
        <w:pStyle w:val="Normal"/>
        <w:ind w:start="720" w:end="0"/>
        <w:rPr>
          <w:sz w:val="17"/>
        </w:rPr>
      </w:pPr>
      <w:r>
        <w:rPr>
          <w:sz w:val="17"/>
        </w:rPr>
        <w:t>October 2000</w:t>
        <w:tab/>
        <w:t>$2,000,000</w:t>
        <w:tab/>
        <w:t>( $100,000 )</w:t>
        <w:tab/>
        <w:tab/>
        <w:t>$ 0</w:t>
        <w:tab/>
        <w:tab/>
        <w:t>$2,000,000</w:t>
        <w:tab/>
        <w:tab/>
        <w:t>$ 0</w:t>
        <w:tab/>
        <w:t>$2,000,000</w:t>
      </w:r>
    </w:p>
    <w:p>
      <w:pPr>
        <w:pStyle w:val="Normal"/>
        <w:ind w:start="720" w:end="0"/>
        <w:rPr>
          <w:sz w:val="17"/>
        </w:rPr>
      </w:pPr>
      <w:r>
        <w:rPr>
          <w:sz w:val="17"/>
        </w:rPr>
      </w:r>
    </w:p>
    <w:p>
      <w:pPr>
        <w:pStyle w:val="Normal"/>
        <w:ind w:start="720" w:end="0"/>
        <w:rPr>
          <w:sz w:val="17"/>
        </w:rPr>
      </w:pPr>
      <w:r>
        <w:rPr>
          <w:sz w:val="17"/>
        </w:rPr>
        <w:t>November 2000</w:t>
        <w:tab/>
        <w:t>$1,000,000</w:t>
        <w:tab/>
        <w:t xml:space="preserve">  $500,000 </w:t>
        <w:tab/>
        <w:tab/>
        <w:t>$500,000</w:t>
        <w:tab/>
        <w:tab/>
        <w:t>$1,500,000</w:t>
        <w:tab/>
        <w:tab/>
        <w:t>$ 0</w:t>
        <w:tab/>
        <w:t>$1,500,000</w:t>
      </w:r>
    </w:p>
    <w:p>
      <w:pPr>
        <w:pStyle w:val="Normal"/>
        <w:ind w:start="720" w:end="0"/>
        <w:rPr>
          <w:sz w:val="17"/>
        </w:rPr>
      </w:pPr>
      <w:r>
        <w:rPr>
          <w:sz w:val="17"/>
        </w:rPr>
      </w:r>
    </w:p>
    <w:p>
      <w:pPr>
        <w:pStyle w:val="Normal"/>
        <w:ind w:start="720" w:end="0"/>
        <w:rPr>
          <w:sz w:val="17"/>
        </w:rPr>
      </w:pPr>
      <w:r>
        <w:rPr>
          <w:sz w:val="17"/>
        </w:rPr>
        <w:t>December 2000</w:t>
        <w:tab/>
        <w:t>$5,000,000</w:t>
        <w:tab/>
        <w:t xml:space="preserve">  $500,000 </w:t>
        <w:tab/>
        <w:tab/>
        <w:t>$500,000</w:t>
        <w:tab/>
        <w:tab/>
        <w:t>$5,500,000</w:t>
        <w:tab/>
        <w:t xml:space="preserve">  ( $ 100,000)</w:t>
        <w:tab/>
        <w:t>$5,400,000</w:t>
      </w:r>
    </w:p>
    <w:p>
      <w:pPr>
        <w:pStyle w:val="Normal"/>
        <w:ind w:start="720" w:end="0"/>
        <w:rPr>
          <w:sz w:val="17"/>
        </w:rPr>
      </w:pPr>
      <w:r>
        <w:rPr>
          <w:sz w:val="17"/>
        </w:rPr>
      </w:r>
    </w:p>
    <w:p>
      <w:pPr>
        <w:pStyle w:val="Heading2"/>
        <w:rPr>
          <w:b/>
          <w:sz w:val="17"/>
          <w:u w:val="none"/>
        </w:rPr>
      </w:pPr>
      <w:r>
        <w:rPr>
          <w:b/>
          <w:sz w:val="17"/>
          <w:u w:val="none"/>
        </w:rPr>
      </w:r>
    </w:p>
    <w:p>
      <w:pPr>
        <w:pStyle w:val="Heading2"/>
        <w:rPr>
          <w:b/>
          <w:sz w:val="17"/>
          <w:u w:val="none"/>
        </w:rPr>
      </w:pPr>
      <w:r>
        <w:rPr>
          <w:b/>
          <w:sz w:val="17"/>
          <w:u w:val="none"/>
        </w:rPr>
      </w:r>
    </w:p>
    <w:p>
      <w:pPr>
        <w:pStyle w:val="Normal"/>
        <w:rPr>
          <w:b/>
          <w:sz w:val="17"/>
          <w:u w:val="none"/>
        </w:rPr>
      </w:pPr>
      <w:r>
        <w:rPr>
          <w:b/>
          <w:sz w:val="17"/>
          <w:u w:val="none"/>
        </w:rPr>
      </w:r>
    </w:p>
    <w:p>
      <w:pPr>
        <w:pStyle w:val="Heading2"/>
        <w:rPr>
          <w:b/>
          <w:sz w:val="17"/>
          <w:u w:val="none"/>
        </w:rPr>
      </w:pPr>
      <w:r>
        <w:rPr>
          <w:b/>
          <w:sz w:val="17"/>
          <w:u w:val="none"/>
        </w:rPr>
        <w:t>Example 2</w:t>
      </w:r>
    </w:p>
    <w:p>
      <w:pPr>
        <w:pStyle w:val="Normal"/>
        <w:ind w:start="720" w:end="0"/>
        <w:rPr>
          <w:b/>
          <w:sz w:val="17"/>
          <w:u w:val="none"/>
        </w:rPr>
      </w:pPr>
      <w:r>
        <w:rPr>
          <w:b/>
          <w:sz w:val="17"/>
          <w:u w:val="none"/>
        </w:rPr>
      </w:r>
    </w:p>
    <w:p>
      <w:pPr>
        <w:pStyle w:val="Normal"/>
        <w:ind w:start="720" w:end="0"/>
        <w:rPr>
          <w:b/>
          <w:sz w:val="17"/>
        </w:rPr>
      </w:pPr>
      <w:r>
        <w:rPr>
          <w:b/>
          <w:sz w:val="17"/>
        </w:rPr>
      </w:r>
    </w:p>
    <w:p>
      <w:pPr>
        <w:pStyle w:val="Normal"/>
        <w:ind w:start="720" w:end="0"/>
        <w:rPr>
          <w:sz w:val="17"/>
        </w:rPr>
      </w:pPr>
      <w:r>
        <w:rPr>
          <w:sz w:val="17"/>
        </w:rPr>
        <w:t>October 2000</w:t>
        <w:tab/>
        <w:t>$1,800,000</w:t>
        <w:tab/>
        <w:t>( $200,000 )</w:t>
        <w:tab/>
        <w:tab/>
        <w:t>$ 0</w:t>
        <w:tab/>
        <w:tab/>
        <w:t>$1,800,000</w:t>
        <w:tab/>
        <w:tab/>
        <w:t xml:space="preserve"> $ 0</w:t>
        <w:tab/>
        <w:t>$1,800,000</w:t>
      </w:r>
    </w:p>
    <w:p>
      <w:pPr>
        <w:pStyle w:val="Normal"/>
        <w:ind w:start="720" w:end="0"/>
        <w:rPr>
          <w:sz w:val="17"/>
        </w:rPr>
      </w:pPr>
      <w:r>
        <w:rPr>
          <w:sz w:val="17"/>
        </w:rPr>
      </w:r>
    </w:p>
    <w:p>
      <w:pPr>
        <w:pStyle w:val="Normal"/>
        <w:ind w:start="720" w:end="0"/>
        <w:rPr>
          <w:sz w:val="17"/>
        </w:rPr>
      </w:pPr>
      <w:r>
        <w:rPr>
          <w:sz w:val="17"/>
        </w:rPr>
        <w:t>November 2000</w:t>
        <w:tab/>
        <w:t>$4,000,000</w:t>
        <w:tab/>
        <w:t xml:space="preserve">  $500,000 </w:t>
        <w:tab/>
        <w:tab/>
        <w:t>$500,000</w:t>
        <w:tab/>
        <w:tab/>
        <w:t>$4,500,000</w:t>
        <w:tab/>
        <w:tab/>
        <w:t xml:space="preserve"> $ 0</w:t>
        <w:tab/>
        <w:t>$4,500,000</w:t>
      </w:r>
    </w:p>
    <w:p>
      <w:pPr>
        <w:pStyle w:val="Normal"/>
        <w:ind w:start="720" w:end="0"/>
        <w:rPr>
          <w:sz w:val="17"/>
        </w:rPr>
      </w:pPr>
      <w:r>
        <w:rPr>
          <w:sz w:val="17"/>
        </w:rPr>
      </w:r>
    </w:p>
    <w:p>
      <w:pPr>
        <w:pStyle w:val="Normal"/>
        <w:ind w:start="720" w:end="0"/>
        <w:rPr>
          <w:sz w:val="17"/>
        </w:rPr>
      </w:pPr>
      <w:r>
        <w:rPr>
          <w:sz w:val="17"/>
        </w:rPr>
        <w:t>December 2000</w:t>
        <w:tab/>
        <w:t>$ 0</w:t>
        <w:tab/>
        <w:tab/>
        <w:t xml:space="preserve">  $ 0 </w:t>
        <w:tab/>
        <w:tab/>
        <w:tab/>
        <w:t>$ 0</w:t>
        <w:tab/>
        <w:tab/>
        <w:t>$ 0</w:t>
        <w:tab/>
        <w:tab/>
        <w:t xml:space="preserve">  ( $ 200,000 )</w:t>
        <w:tab/>
        <w:t>( $ 200,000)</w:t>
      </w:r>
    </w:p>
    <w:p>
      <w:pPr>
        <w:pStyle w:val="Normal"/>
        <w:ind w:start="720" w:end="0"/>
        <w:rPr>
          <w:sz w:val="17"/>
        </w:rPr>
      </w:pPr>
      <w:r>
        <w:rPr>
          <w:sz w:val="17"/>
        </w:rPr>
      </w:r>
    </w:p>
    <w:p>
      <w:pPr>
        <w:pStyle w:val="Heading2"/>
        <w:rPr>
          <w:b/>
          <w:sz w:val="17"/>
          <w:u w:val="none"/>
        </w:rPr>
      </w:pPr>
      <w:r>
        <w:rPr>
          <w:b/>
          <w:sz w:val="17"/>
          <w:u w:val="none"/>
        </w:rPr>
      </w:r>
    </w:p>
    <w:p>
      <w:pPr>
        <w:pStyle w:val="Heading2"/>
        <w:rPr>
          <w:b/>
          <w:sz w:val="17"/>
          <w:u w:val="none"/>
        </w:rPr>
      </w:pPr>
      <w:r>
        <w:rPr>
          <w:b/>
          <w:sz w:val="17"/>
          <w:u w:val="none"/>
        </w:rPr>
      </w:r>
    </w:p>
    <w:p>
      <w:pPr>
        <w:pStyle w:val="Normal"/>
        <w:rPr>
          <w:b/>
          <w:sz w:val="17"/>
          <w:u w:val="none"/>
        </w:rPr>
      </w:pPr>
      <w:r>
        <w:rPr>
          <w:b/>
          <w:sz w:val="17"/>
          <w:u w:val="none"/>
        </w:rPr>
      </w:r>
    </w:p>
    <w:p>
      <w:pPr>
        <w:pStyle w:val="Heading2"/>
        <w:rPr>
          <w:b/>
          <w:sz w:val="17"/>
          <w:u w:val="none"/>
        </w:rPr>
      </w:pPr>
      <w:r>
        <w:rPr>
          <w:b/>
          <w:sz w:val="17"/>
          <w:u w:val="none"/>
        </w:rPr>
        <w:t>Example 3</w:t>
      </w:r>
    </w:p>
    <w:p>
      <w:pPr>
        <w:pStyle w:val="Normal"/>
        <w:ind w:start="720" w:end="0"/>
        <w:rPr>
          <w:b/>
          <w:sz w:val="17"/>
          <w:u w:val="none"/>
        </w:rPr>
      </w:pPr>
      <w:r>
        <w:rPr>
          <w:b/>
          <w:sz w:val="17"/>
          <w:u w:val="none"/>
        </w:rPr>
      </w:r>
    </w:p>
    <w:p>
      <w:pPr>
        <w:pStyle w:val="Normal"/>
        <w:ind w:start="720" w:end="0"/>
        <w:rPr>
          <w:b/>
          <w:sz w:val="17"/>
        </w:rPr>
      </w:pPr>
      <w:r>
        <w:rPr>
          <w:b/>
          <w:sz w:val="17"/>
        </w:rPr>
      </w:r>
    </w:p>
    <w:p>
      <w:pPr>
        <w:pStyle w:val="Normal"/>
        <w:ind w:start="720" w:end="0"/>
        <w:rPr>
          <w:sz w:val="17"/>
        </w:rPr>
      </w:pPr>
      <w:r>
        <w:rPr>
          <w:sz w:val="17"/>
        </w:rPr>
        <w:t>October 2000</w:t>
        <w:tab/>
        <w:t>$2,000,000</w:t>
        <w:tab/>
        <w:t>( $100,000 )</w:t>
        <w:tab/>
        <w:tab/>
        <w:t>$ 0</w:t>
        <w:tab/>
        <w:tab/>
        <w:t>$2,000,000</w:t>
        <w:tab/>
        <w:tab/>
        <w:t xml:space="preserve">     $ 0</w:t>
        <w:tab/>
        <w:t>$2,000,000</w:t>
      </w:r>
    </w:p>
    <w:p>
      <w:pPr>
        <w:pStyle w:val="Normal"/>
        <w:ind w:start="720" w:end="0"/>
        <w:rPr>
          <w:sz w:val="17"/>
        </w:rPr>
      </w:pPr>
      <w:r>
        <w:rPr>
          <w:sz w:val="17"/>
        </w:rPr>
      </w:r>
    </w:p>
    <w:p>
      <w:pPr>
        <w:pStyle w:val="Normal"/>
        <w:ind w:start="720" w:end="0"/>
        <w:rPr>
          <w:sz w:val="17"/>
        </w:rPr>
      </w:pPr>
      <w:r>
        <w:rPr>
          <w:sz w:val="17"/>
        </w:rPr>
        <w:t>November 2000</w:t>
        <w:tab/>
        <w:t>$4,900,000</w:t>
        <w:tab/>
        <w:t xml:space="preserve">  $100,000 </w:t>
        <w:tab/>
        <w:tab/>
        <w:t>$100,000</w:t>
        <w:tab/>
        <w:tab/>
        <w:t>$5,000,000</w:t>
        <w:tab/>
        <w:t xml:space="preserve"> </w:t>
        <w:tab/>
        <w:t xml:space="preserve">     $ 0</w:t>
        <w:tab/>
        <w:t>$5,000,000</w:t>
      </w:r>
    </w:p>
    <w:p>
      <w:pPr>
        <w:pStyle w:val="Normal"/>
        <w:ind w:start="720" w:end="0"/>
        <w:rPr>
          <w:sz w:val="17"/>
        </w:rPr>
      </w:pPr>
      <w:r>
        <w:rPr>
          <w:sz w:val="17"/>
        </w:rPr>
      </w:r>
    </w:p>
    <w:p>
      <w:pPr>
        <w:pStyle w:val="Normal"/>
        <w:ind w:start="720" w:end="0"/>
        <w:rPr>
          <w:sz w:val="17"/>
        </w:rPr>
      </w:pPr>
      <w:r>
        <w:rPr>
          <w:sz w:val="17"/>
        </w:rPr>
        <w:t>December 2000</w:t>
        <w:tab/>
        <w:t>$6,400,000</w:t>
        <w:tab/>
        <w:t xml:space="preserve">( $400,000 ) </w:t>
        <w:tab/>
        <w:tab/>
        <w:t>$ 0</w:t>
        <w:tab/>
        <w:tab/>
        <w:t>$6,400,000</w:t>
        <w:tab/>
        <w:t xml:space="preserve">        ( $ 100,000)</w:t>
        <w:tab/>
        <w:t>$6,300,000</w:t>
      </w:r>
    </w:p>
    <w:sectPr>
      <w:type w:val="nextPage"/>
      <w:pgSz w:w="12240" w:h="15840"/>
      <w:pgMar w:left="360" w:right="720" w:gutter="0" w:header="0" w:top="187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ill Sans MT">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exact" w:line="520" w:before="960" w:after="0"/>
      <w:ind w:hanging="0" w:start="1440" w:end="0"/>
      <w:outlineLvl w:val="0"/>
    </w:pPr>
    <w:rPr>
      <w:rFonts w:ascii="Gill Sans MT" w:hAnsi="Gill Sans MT" w:cs="Gill Sans MT"/>
      <w:i/>
      <w:iCs/>
      <w:sz w:val="28"/>
    </w:rPr>
  </w:style>
  <w:style w:type="paragraph" w:styleId="Heading2">
    <w:name w:val="heading 2"/>
    <w:basedOn w:val="Normal"/>
    <w:next w:val="Normal"/>
    <w:qFormat/>
    <w:pPr>
      <w:keepNext w:val="true"/>
      <w:numPr>
        <w:ilvl w:val="1"/>
        <w:numId w:val="1"/>
      </w:numPr>
      <w:ind w:hanging="0" w:start="720" w:end="0"/>
      <w:outlineLvl w:val="1"/>
    </w:pPr>
    <w:rPr>
      <w:sz w:val="21"/>
      <w:u w:val="single"/>
    </w:rPr>
  </w:style>
  <w:style w:type="paragraph" w:styleId="Heading3">
    <w:name w:val="heading 3"/>
    <w:basedOn w:val="Normal"/>
    <w:next w:val="Normal"/>
    <w:qFormat/>
    <w:pPr>
      <w:keepNext w:val="true"/>
      <w:numPr>
        <w:ilvl w:val="2"/>
        <w:numId w:val="1"/>
      </w:numPr>
      <w:ind w:hanging="0" w:start="720" w:end="0"/>
      <w:jc w:val="center"/>
      <w:outlineLvl w:val="2"/>
    </w:pPr>
    <w:rPr>
      <w:b/>
      <w:sz w:val="1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Sithe_letter.dot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2000-09-25T13:38:00Z</dcterms:created>
  <dc:creator>mmuniz</dc:creator>
  <dc:description/>
  <dc:language>en-CA</dc:language>
  <cp:lastModifiedBy>rconcan</cp:lastModifiedBy>
  <cp:lastPrinted>2000-10-31T15:42:00Z</cp:lastPrinted>
  <dcterms:modified xsi:type="dcterms:W3CDTF">2000-10-31T19:13:00Z</dcterms:modified>
  <cp:revision>19</cp:revision>
  <dc:subject/>
  <dc:title>FAX COVER SHEET</dc:title>
</cp:coreProperties>
</file>