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t>December 21,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regarding the purchase and sale of Gas on the following terms.  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rFonts w:cs="Arial" w:ascii="Arial" w:hAnsi="Arial"/>
          <w:sz w:val="20"/>
        </w:rPr>
        <w:t xml:space="preserve">).  Transaction No. </w:t>
      </w:r>
      <w:r>
        <w:rPr>
          <w:rFonts w:cs="Arial" w:ascii="Arial" w:hAnsi="Arial"/>
          <w:sz w:val="20"/>
          <w:u w:val="single"/>
        </w:rPr>
        <w:t>BDKW1off-peak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rFonts w:ascii="Arial" w:hAnsi="Arial" w:cs="Arial"/>
                <w:sz w:val="20"/>
              </w:rPr>
            </w:pPr>
            <w:r>
              <w:rPr>
                <w:rFonts w:cs="Arial" w:ascii="Arial" w:hAnsi="Arial"/>
                <w:sz w:val="20"/>
              </w:rPr>
              <w:t>1) 22,263 MMBtu per weekend day and/or holiday during the Period of Delivery.</w:t>
            </w:r>
          </w:p>
          <w:p>
            <w:pPr>
              <w:pStyle w:val="Normal"/>
              <w:jc w:val="both"/>
              <w:rPr>
                <w:rFonts w:ascii="Arial" w:hAnsi="Arial" w:cs="Arial"/>
                <w:sz w:val="20"/>
              </w:rPr>
            </w:pPr>
            <w:r>
              <w:rPr>
                <w:rFonts w:cs="Arial" w:ascii="Arial" w:hAnsi="Arial"/>
                <w:sz w:val="20"/>
              </w:rPr>
              <w:t xml:space="preserve">2) 22,263 MMBtu per weekday during the Period of Delivery. </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center"/>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ANR LA Headstation.</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January 1, 2001 through January 31, 2001.</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the sum of [(a) (22,263 MMBtu per weekend day and/or holiday) X # of such days in Period of Delivery; and (b) (22,263 MMBtu per weekday) X # of weekdays in Period of Delivery], and the Value is equal to the sum of Part (a) and Part (b) minus Part (c):</w:t>
            </w:r>
          </w:p>
          <w:p>
            <w:pPr>
              <w:pStyle w:val="Normal"/>
              <w:jc w:val="both"/>
              <w:rPr>
                <w:rFonts w:ascii="Arial" w:hAnsi="Arial" w:cs="Arial"/>
                <w:sz w:val="20"/>
              </w:rPr>
            </w:pPr>
            <w:r>
              <w:rPr>
                <w:rFonts w:cs="Arial" w:ascii="Arial" w:hAnsi="Arial"/>
                <w:sz w:val="20"/>
              </w:rPr>
              <w:t>Part (a):    The value obtained by the formula</w:t>
            </w:r>
          </w:p>
          <w:p>
            <w:pPr>
              <w:pStyle w:val="Normal"/>
              <w:jc w:val="both"/>
              <w:rPr>
                <w:rFonts w:ascii="Arial" w:hAnsi="Arial" w:cs="Arial"/>
                <w:sz w:val="20"/>
              </w:rPr>
            </w:pPr>
            <w:r>
              <w:rPr>
                <w:rFonts w:eastAsia="Arial" w:cs="Arial" w:ascii="Arial" w:hAnsi="Arial"/>
                <w:sz w:val="20"/>
              </w:rPr>
              <w:t xml:space="preserve">                       </w:t>
            </w:r>
            <w:r>
              <w:rPr>
                <w:rFonts w:cs="Arial" w:ascii="Arial" w:hAnsi="Arial"/>
                <w:sz w:val="20"/>
              </w:rPr>
              <w:t>[(A  X B) + C].</w:t>
            </w:r>
          </w:p>
          <w:p>
            <w:pPr>
              <w:pStyle w:val="Normal"/>
              <w:tabs>
                <w:tab w:val="clear" w:pos="720"/>
                <w:tab w:val="left" w:pos="972" w:leader="none"/>
              </w:tabs>
              <w:ind w:hanging="972" w:start="972" w:end="0"/>
              <w:jc w:val="both"/>
              <w:rPr/>
            </w:pPr>
            <w:r>
              <w:rPr>
                <w:rFonts w:cs="Arial" w:ascii="Arial" w:hAnsi="Arial"/>
                <w:sz w:val="20"/>
              </w:rPr>
              <w:t xml:space="preserve">Part (b):  The value, if positive, obtained by the formula [50% X (D minus the sum of E and the value obtained in Part (a) above)] ; provided, however, if the value obtained by such formula is negative, such value shall be carried forward to Part (c) of this Transaction No. </w:t>
            </w:r>
            <w:r>
              <w:rPr>
                <w:rFonts w:cs="Arial" w:ascii="Arial" w:hAnsi="Arial"/>
                <w:sz w:val="20"/>
                <w:u w:val="single"/>
              </w:rPr>
              <w:t>BDKW1off-peak</w:t>
            </w:r>
            <w:r>
              <w:rPr>
                <w:rFonts w:cs="Arial" w:ascii="Arial" w:hAnsi="Arial"/>
                <w:sz w:val="20"/>
              </w:rPr>
              <w:t>.</w:t>
            </w:r>
          </w:p>
          <w:p>
            <w:pPr>
              <w:pStyle w:val="Normal"/>
              <w:tabs>
                <w:tab w:val="clear" w:pos="720"/>
                <w:tab w:val="left" w:pos="972" w:leader="none"/>
              </w:tabs>
              <w:ind w:hanging="972" w:start="972" w:end="0"/>
              <w:jc w:val="both"/>
              <w:rPr/>
            </w:pPr>
            <w:r>
              <w:rPr>
                <w:rFonts w:cs="Arial" w:ascii="Arial" w:hAnsi="Arial"/>
                <w:sz w:val="20"/>
              </w:rPr>
              <w:t>Part (c):</w:t>
              <w:tab/>
              <w:t xml:space="preserve">Equals zero if the values determined under Part (b) of Transaction No. </w:t>
            </w:r>
            <w:r>
              <w:rPr>
                <w:rFonts w:cs="Arial" w:ascii="Arial" w:hAnsi="Arial"/>
                <w:sz w:val="20"/>
                <w:u w:val="single"/>
              </w:rPr>
              <w:t>BDKW1on-peak</w:t>
            </w:r>
            <w:r>
              <w:rPr>
                <w:rFonts w:cs="Arial" w:ascii="Arial" w:hAnsi="Arial"/>
                <w:sz w:val="20"/>
              </w:rPr>
              <w:t xml:space="preserve"> and this </w:t>
            </w:r>
            <w:r>
              <w:rPr>
                <w:rFonts w:cs="Arial" w:ascii="Arial" w:hAnsi="Arial"/>
                <w:sz w:val="20"/>
                <w:u w:val="single"/>
              </w:rPr>
              <w:t>BDKW1off-peak</w:t>
            </w:r>
            <w:r>
              <w:rPr>
                <w:rFonts w:cs="Arial" w:ascii="Arial" w:hAnsi="Arial"/>
                <w:sz w:val="20"/>
              </w:rPr>
              <w:t xml:space="preserve"> are both negative or both positive.  If one of the values determined under Part (b) of Transaction No. </w:t>
            </w:r>
            <w:r>
              <w:rPr>
                <w:rFonts w:cs="Arial" w:ascii="Arial" w:hAnsi="Arial"/>
                <w:sz w:val="20"/>
                <w:u w:val="single"/>
              </w:rPr>
              <w:t>BDKW1on-peak</w:t>
            </w:r>
            <w:r>
              <w:rPr>
                <w:rFonts w:cs="Arial" w:ascii="Arial" w:hAnsi="Arial"/>
                <w:sz w:val="20"/>
              </w:rPr>
              <w:t xml:space="preserve"> and this </w:t>
            </w:r>
            <w:r>
              <w:rPr>
                <w:rFonts w:cs="Arial" w:ascii="Arial" w:hAnsi="Arial"/>
                <w:sz w:val="20"/>
                <w:u w:val="single"/>
              </w:rPr>
              <w:t>BDKW1off-peak</w:t>
            </w:r>
            <w:r>
              <w:rPr>
                <w:rFonts w:cs="Arial" w:ascii="Arial" w:hAnsi="Arial"/>
                <w:sz w:val="20"/>
              </w:rPr>
              <w:t xml:space="preserve"> is positive and the other negative, then this Part (c) equals the lesser of (x) the absolute value of the negative value determined under Part (b) of Transaction Nos. </w:t>
            </w:r>
            <w:r>
              <w:rPr>
                <w:rFonts w:cs="Arial" w:ascii="Arial" w:hAnsi="Arial"/>
                <w:sz w:val="20"/>
                <w:u w:val="single"/>
              </w:rPr>
              <w:t>BDKW1on-peak</w:t>
            </w:r>
            <w:r>
              <w:rPr>
                <w:rFonts w:cs="Arial" w:ascii="Arial" w:hAnsi="Arial"/>
                <w:sz w:val="20"/>
              </w:rPr>
              <w:t xml:space="preserve"> or this </w:t>
            </w:r>
            <w:r>
              <w:rPr>
                <w:rFonts w:cs="Arial" w:ascii="Arial" w:hAnsi="Arial"/>
                <w:sz w:val="20"/>
                <w:u w:val="single"/>
              </w:rPr>
              <w:t>BDKW1off-peak</w:t>
            </w:r>
            <w:r>
              <w:rPr>
                <w:rFonts w:cs="Arial" w:ascii="Arial" w:hAnsi="Arial"/>
                <w:sz w:val="20"/>
              </w:rPr>
              <w:t xml:space="preserve">, and (y) the positive value determined under Part (b) of Transaction Nos. </w:t>
            </w:r>
            <w:r>
              <w:rPr>
                <w:rFonts w:cs="Arial" w:ascii="Arial" w:hAnsi="Arial"/>
                <w:sz w:val="20"/>
                <w:u w:val="single"/>
              </w:rPr>
              <w:t>BDKW1on-peak</w:t>
            </w:r>
            <w:r>
              <w:rPr>
                <w:rFonts w:cs="Arial" w:ascii="Arial" w:hAnsi="Arial"/>
                <w:sz w:val="20"/>
              </w:rPr>
              <w:t xml:space="preserve"> or this </w:t>
            </w:r>
            <w:r>
              <w:rPr>
                <w:rFonts w:cs="Arial" w:ascii="Arial" w:hAnsi="Arial"/>
                <w:sz w:val="20"/>
                <w:u w:val="single"/>
              </w:rPr>
              <w:t>BDKW1off-peak</w:t>
            </w:r>
            <w:r>
              <w:rPr>
                <w:rFonts w:cs="Arial" w:ascii="Arial" w:hAnsi="Arial"/>
                <w:sz w:val="20"/>
              </w:rPr>
              <w:t xml:space="preserve">.  If no Transaction No. </w:t>
            </w:r>
            <w:r>
              <w:rPr>
                <w:rFonts w:cs="Arial" w:ascii="Arial" w:hAnsi="Arial"/>
                <w:sz w:val="20"/>
                <w:u w:val="single"/>
              </w:rPr>
              <w:t>BDKW1on-peak</w:t>
            </w:r>
            <w:r>
              <w:rPr>
                <w:rFonts w:cs="Arial" w:ascii="Arial" w:hAnsi="Arial"/>
                <w:sz w:val="20"/>
              </w:rPr>
              <w:t xml:space="preserve"> exists, then this Part (c) equals zero.</w:t>
            </w:r>
          </w:p>
        </w:tc>
      </w:tr>
      <w:tr>
        <w:trPr/>
        <w:tc>
          <w:tcPr>
            <w:tcW w:w="4428" w:type="dxa"/>
            <w:tcBorders/>
          </w:tcPr>
          <w:p>
            <w:pPr>
              <w:pStyle w:val="Normal"/>
              <w:snapToGrid w:val="false"/>
              <w:spacing w:before="240" w:after="0"/>
              <w:jc w:val="both"/>
              <w:rPr>
                <w:rFonts w:ascii="Arial" w:hAnsi="Arial" w:cs="Arial"/>
                <w:sz w:val="20"/>
              </w:rPr>
            </w:pPr>
            <w:r>
              <w:rPr>
                <w:rFonts w:cs="Arial" w:ascii="Arial" w:hAnsi="Arial"/>
                <w:sz w:val="20"/>
              </w:rPr>
            </w:r>
          </w:p>
        </w:tc>
        <w:tc>
          <w:tcPr>
            <w:tcW w:w="6588" w:type="dxa"/>
            <w:tcBorders/>
          </w:tcPr>
          <w:p>
            <w:pPr>
              <w:pStyle w:val="Normal"/>
              <w:numPr>
                <w:ilvl w:val="0"/>
                <w:numId w:val="3"/>
              </w:numPr>
              <w:jc w:val="both"/>
              <w:rPr>
                <w:rFonts w:ascii="Arial" w:hAnsi="Arial" w:cs="Arial"/>
                <w:sz w:val="20"/>
              </w:rPr>
            </w:pPr>
            <w:r>
              <w:rPr>
                <w:rFonts w:cs="Arial" w:ascii="Arial" w:hAnsi="Arial"/>
                <w:sz w:val="20"/>
              </w:rPr>
              <w:t>Decrease in MWhs delivered to NY ISO due to shutdown of  (i) (400 MW) X (8 hrs/day) X (# of holidays and weekend days in Period of Delivery) plus (ii) (400 MW) X (8 hrs/day) X (# of weekdays in the Period of Delivery).</w:t>
            </w:r>
          </w:p>
          <w:p>
            <w:pPr>
              <w:pStyle w:val="Normal"/>
              <w:numPr>
                <w:ilvl w:val="0"/>
                <w:numId w:val="3"/>
              </w:numPr>
              <w:jc w:val="both"/>
              <w:rPr>
                <w:rFonts w:ascii="Arial" w:hAnsi="Arial" w:cs="Arial"/>
                <w:sz w:val="20"/>
              </w:rPr>
            </w:pPr>
            <w:r>
              <w:rPr>
                <w:rFonts w:cs="Arial" w:ascii="Arial" w:hAnsi="Arial"/>
                <w:sz w:val="20"/>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0"/>
              </w:rPr>
            </w:pPr>
            <w:r>
              <w:rPr>
                <w:rFonts w:cs="Arial" w:ascii="Arial" w:hAnsi="Arial"/>
                <w:sz w:val="20"/>
              </w:rPr>
              <w:t>The sum of (a) $9.60 per MMBtu X 22,263 MMBtu/day X # of weekend days and/or holidays in the Period of Delivery, and (b)  $9.60 per MMBtu X 22,263 MMBtu/day X # of weekdays in the Period of Delivery.</w:t>
            </w:r>
          </w:p>
          <w:p>
            <w:pPr>
              <w:pStyle w:val="Normal"/>
              <w:numPr>
                <w:ilvl w:val="0"/>
                <w:numId w:val="3"/>
              </w:numPr>
              <w:jc w:val="both"/>
              <w:rPr>
                <w:rFonts w:ascii="Arial" w:hAnsi="Arial" w:cs="Arial"/>
                <w:sz w:val="20"/>
              </w:rPr>
            </w:pPr>
            <w:r>
              <w:rPr>
                <w:rFonts w:cs="Arial" w:ascii="Arial" w:hAnsi="Arial"/>
                <w:sz w:val="20"/>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0" w:leader="none"/>
                <w:tab w:val="left" w:pos="360" w:leader="none"/>
              </w:tabs>
              <w:ind w:hanging="360"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Council (“NERC”) defined holidays.</w:t>
            </w:r>
          </w:p>
          <w:p>
            <w:pPr>
              <w:pStyle w:val="Normal"/>
              <w:tabs>
                <w:tab w:val="clear" w:pos="720"/>
                <w:tab w:val="left" w:pos="0" w:leader="none"/>
              </w:tabs>
              <w:ind w:hanging="360" w:start="432" w:end="0"/>
              <w:jc w:val="both"/>
              <w:rPr/>
            </w:pPr>
            <w:r>
              <w:rPr>
                <w:rFonts w:cs="Arial" w:ascii="Arial" w:hAnsi="Arial"/>
                <w:sz w:val="20"/>
              </w:rPr>
              <w:t>2.</w:t>
              <w:tab/>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hereunder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  </w:t>
            </w:r>
          </w:p>
        </w:tc>
      </w:tr>
    </w:tbl>
    <w:p>
      <w:pPr>
        <w:pStyle w:val="Normal"/>
        <w:tabs>
          <w:tab w:val="clear" w:pos="720"/>
          <w:tab w:val="left" w:pos="10800" w:leader="none"/>
        </w:tabs>
        <w:spacing w:lineRule="exact" w:line="360"/>
        <w:jc w:val="both"/>
        <w:rPr>
          <w:sz w:val="20"/>
        </w:rPr>
      </w:pPr>
      <w:r>
        <w:rPr>
          <w:sz w:val="20"/>
        </w:rPr>
      </w:r>
    </w:p>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above: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Normal"/>
        <w:spacing w:before="120" w:after="120"/>
        <w:jc w:val="both"/>
        <w:rPr>
          <w:rFonts w:ascii="Arial" w:hAnsi="Arial" w:cs="Arial"/>
          <w:sz w:val="20"/>
        </w:rPr>
      </w:pPr>
      <w:r>
        <w:rPr>
          <w:rFonts w:cs="Arial" w:ascii="Arial" w:hAnsi="Arial"/>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p>
            <w:pPr>
              <w:pStyle w:val="Normal"/>
              <w:tabs>
                <w:tab w:val="clear" w:pos="720"/>
                <w:tab w:val="left" w:pos="5040" w:leader="none"/>
              </w:tabs>
              <w:rPr>
                <w:rFonts w:ascii="Arial" w:hAnsi="Arial" w:cs="Arial"/>
                <w:sz w:val="20"/>
              </w:rPr>
            </w:pPr>
            <w:r>
              <w:rPr>
                <w:rFonts w:cs="Arial" w:ascii="Arial" w:hAnsi="Arial"/>
                <w:sz w:val="20"/>
              </w:rPr>
              <w:t>By:  Sithe/Independence, Inc.</w:t>
            </w:r>
          </w:p>
          <w:p>
            <w:pPr>
              <w:pStyle w:val="Normal"/>
              <w:tabs>
                <w:tab w:val="clear" w:pos="720"/>
                <w:tab w:val="left" w:pos="5040" w:leader="none"/>
              </w:tabs>
              <w:rPr>
                <w:rFonts w:ascii="Arial" w:hAnsi="Arial" w:cs="Arial"/>
                <w:sz w:val="20"/>
              </w:rPr>
            </w:pPr>
            <w:r>
              <w:rPr>
                <w:rFonts w:eastAsia="Arial" w:cs="Arial" w:ascii="Arial" w:hAnsi="Arial"/>
                <w:sz w:val="20"/>
              </w:rPr>
              <w:t xml:space="preserve">       </w:t>
            </w:r>
            <w:r>
              <w:rPr>
                <w:rFonts w:cs="Arial" w:ascii="Arial" w:hAnsi="Arial"/>
                <w:sz w:val="20"/>
              </w:rPr>
              <w:t>its General Partner</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/mnt/main-storage/datasets/enron-docs/doc/Sithe_Resale_Jan_Off_12_21_00Final.doc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/mnt/main-storage/datasets/enron-docs/doc/Sithe_Resale_Jan_Off_12_21_00Final.doc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December 6,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2000-12-21T15:55:00Z</dcterms:created>
  <dc:creator>dhyvl</dc:creator>
  <dc:description/>
  <dc:language>en-CA</dc:language>
  <cp:lastModifiedBy>rconcan</cp:lastModifiedBy>
  <cp:lastPrinted>2000-12-21T12:21:00Z</cp:lastPrinted>
  <dcterms:modified xsi:type="dcterms:W3CDTF">2000-12-21T16:49:00Z</dcterms:modified>
  <cp:revision>3</cp:revision>
  <dc:subject/>
  <dc:title>September 16, 2000</dc:title>
</cp:coreProperties>
</file>