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September 27,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Transaction No. ______</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106,000 MMBtu per Day. </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(83,000 MMBtu/day) and ANR OK Headstation (23,000 MMBtu/day).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March 1, 2001 through March 31, 2001.</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[(106,000 MMBtu/day) X # of days in Period of Delivery], and the Value is equal to the sum of Part (a) and Part (b):</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t>Part (b): The value, if positive, obtained by the formula [50% X (D minus the value obtained in Part (a) above)].</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2"/>
              </w:numPr>
              <w:jc w:val="both"/>
              <w:rPr>
                <w:rFonts w:ascii="Arial" w:hAnsi="Arial" w:cs="Arial"/>
                <w:sz w:val="22"/>
              </w:rPr>
            </w:pPr>
            <w:r>
              <w:rPr>
                <w:rFonts w:cs="Arial" w:ascii="Arial" w:hAnsi="Arial"/>
                <w:sz w:val="22"/>
              </w:rPr>
              <w:t>Decrease in MWhs delivered to NY ISO due to shutdown (570 MW) X (24 hrs/day) X (# of days in Period of Delivery).</w:t>
            </w:r>
          </w:p>
          <w:p>
            <w:pPr>
              <w:pStyle w:val="Normal"/>
              <w:numPr>
                <w:ilvl w:val="0"/>
                <w:numId w:val="2"/>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w:t>
            </w:r>
          </w:p>
          <w:p>
            <w:pPr>
              <w:pStyle w:val="Normal"/>
              <w:numPr>
                <w:ilvl w:val="0"/>
                <w:numId w:val="2"/>
              </w:numPr>
              <w:jc w:val="both"/>
              <w:rPr>
                <w:rFonts w:ascii="Arial" w:hAnsi="Arial" w:cs="Arial"/>
                <w:sz w:val="22"/>
              </w:rPr>
            </w:pPr>
            <w:r>
              <w:rPr>
                <w:rFonts w:cs="Arial" w:ascii="Arial" w:hAnsi="Arial"/>
                <w:sz w:val="22"/>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2"/>
              </w:numPr>
              <w:jc w:val="both"/>
              <w:rPr>
                <w:rFonts w:ascii="Arial" w:hAnsi="Arial" w:cs="Arial"/>
                <w:sz w:val="22"/>
              </w:rPr>
            </w:pPr>
            <w:r>
              <w:rPr>
                <w:rFonts w:cs="Arial" w:ascii="Arial" w:hAnsi="Arial"/>
                <w:sz w:val="22"/>
              </w:rPr>
              <w:t>$________ per MMBtu X 106,000 MMBtu/day X # of days in Period of Delivery.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OTHER:</w:t>
            </w:r>
          </w:p>
        </w:tc>
        <w:tc>
          <w:tcPr>
            <w:tcW w:w="6588" w:type="dxa"/>
            <w:tcBorders/>
          </w:tcPr>
          <w:p>
            <w:pPr>
              <w:pStyle w:val="Normal"/>
              <w:tabs>
                <w:tab w:val="clear" w:pos="720"/>
                <w:tab w:val="left" w:pos="0" w:leader="none"/>
              </w:tabs>
              <w:jc w:val="both"/>
              <w:rPr/>
            </w:pPr>
            <w:r>
              <w:rPr>
                <w:rFonts w:cs="Arial" w:ascii="Arial" w:hAnsi="Arial"/>
                <w:iCs/>
                <w:sz w:val="22"/>
              </w:rPr>
              <w:t>On or before the 10</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iCs/>
                <w:sz w:val="22"/>
              </w:rPr>
            </w:pPr>
            <w:r>
              <w:rPr>
                <w:rFonts w:cs="Arial" w:ascii="Arial" w:hAnsi="Arial"/>
                <w:iCs/>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with TransCanada Pipeline at the U.S./Canada border, with CNG Transmission at Lysander, and with National Fuel Gas Supply at Pendleton,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March 1, 2001 through March 31, 2001.</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 X the DCQ.</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rFonts w:ascii="Arial" w:hAnsi="Arial" w:cs="Arial"/>
                <w:sz w:val="22"/>
              </w:rPr>
            </w:pPr>
            <w:r>
              <w:rPr>
                <w:rFonts w:cs="Arial" w:ascii="Arial" w:hAnsi="Arial"/>
                <w:b/>
                <w:sz w:val="22"/>
              </w:rPr>
              <w:t>B.</w:t>
              <w:tab/>
            </w:r>
            <w:r>
              <w:rPr>
                <w:rFonts w:cs="Arial" w:ascii="Arial" w:hAnsi="Arial"/>
                <w:bCs/>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Taxes and other reasonable transaction costs incurred by Customer that relate to this transaction.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Customer shall schedule a volume of natural gas for each on-peak and start-up hour during the period of flow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For the relevant hours that Company uses Empire Pipeline’s interconnect(s) with CNG Transmission and/or National Fuel Gas Supply, Company will schedule volumes only if Empire confirms that the volumes scheduled on Customer’s interruptible transport contract will be delivered to Niagara Mohawk’s Phoenix Line 63 pipeline.</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t>Company shall be responsible for the balancing and imbalance costs and penalties arising out of or relating to the DCQ upstream of the Delivery Point(s).  Downstream of the Delivery Point(s), Company will be responsible for the balancing and imbalance costs and penalties resulting from not scheduling the delivery of the DCQ based on the hourly gas schedule provided by Customer; including any costs charged by Empire for non-uniform hourly takes that are in accordance with such hourly gas schedule.  Downstream of the Delivery Point(s), Customer will be responsible for the balancing and imbalance costs and penalties resulting from plant operations differing from the hourly gas schedule provided to Company, or that Customer would be responsible, but for this transaction.</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5.</w:t>
              <w:tab/>
            </w:r>
            <w:r>
              <w:rPr>
                <w:rFonts w:cs="Arial" w:ascii="Arial" w:hAnsi="Arial"/>
                <w:iCs/>
                <w:sz w:val="22"/>
              </w:rPr>
              <w:t>On or before the 5</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iCs/>
                <w:sz w:val="22"/>
                <w:vertAlign w:val="superscript"/>
              </w:rPr>
              <w:t>th</w:t>
            </w:r>
            <w:r>
              <w:rPr>
                <w:rFonts w:cs="Arial" w:ascii="Arial" w:hAnsi="Arial"/>
                <w:iCs/>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iCs/>
        </w:rPr>
      </w:pPr>
      <w:r>
        <w:rPr>
          <w:iCs/>
        </w:rPr>
      </w:r>
    </w:p>
    <w:p>
      <w:pPr>
        <w:pStyle w:val="Normal"/>
        <w:tabs>
          <w:tab w:val="clear" w:pos="720"/>
          <w:tab w:val="left" w:pos="10800" w:leader="none"/>
        </w:tabs>
        <w:jc w:val="both"/>
        <w:rPr>
          <w:rFonts w:ascii="Arial" w:hAnsi="Arial" w:cs="Arial"/>
          <w:iCs/>
          <w:sz w:val="22"/>
        </w:rPr>
      </w:pPr>
      <w:r>
        <w:rPr>
          <w:rFonts w:cs="Arial" w:ascii="Arial" w:hAnsi="Arial"/>
          <w:iCs/>
          <w:sz w:val="22"/>
        </w:rPr>
        <w:t xml:space="preserve">Customer and Company acknowledge and agree that to the extent that the terms of this Transaction are inconsistent with the terms of the </w:t>
      </w:r>
      <w:r>
        <w:rPr>
          <w:rFonts w:cs="Arial" w:ascii="Arial" w:hAnsi="Arial"/>
          <w:sz w:val="22"/>
        </w:rPr>
        <w:t xml:space="preserve">ENFOLIO® MASTER "Spot" PURCHASE/SALE AGREEMENT, the terms of this Transaction shall control.  Customer and Company further acknowledge and agree that the following provisions of the ENFOLIO® MASTER "Spot" PURCHASE/SALE AGREEMENT shall not apply to the transactions contemplated by Parts I or II hereof:  (a) last sentence of Section 2.2, (b) Section 3.4, (c) Section 4.3, and (d) all of the matters described in Appendix I under under the heading </w:t>
      </w:r>
      <w:r>
        <w:rPr>
          <w:rFonts w:cs="Arial" w:ascii="Arial" w:hAnsi="Arial"/>
          <w:sz w:val="22"/>
          <w:u w:val="single"/>
        </w:rPr>
        <w:t>Financial Matters, Billing, Invoice Date, Charges and Payment</w:t>
      </w:r>
      <w:r>
        <w:rPr>
          <w:rFonts w:cs="Arial" w:ascii="Arial" w:hAnsi="Arial"/>
          <w:sz w:val="22"/>
        </w:rPr>
        <w:t>, except for the 8</w:t>
      </w:r>
      <w:r>
        <w:rPr>
          <w:rFonts w:cs="Arial" w:ascii="Arial" w:hAnsi="Arial"/>
          <w:sz w:val="22"/>
          <w:vertAlign w:val="superscript"/>
        </w:rPr>
        <w:t>th</w:t>
      </w:r>
      <w:r>
        <w:rPr>
          <w:rFonts w:cs="Arial" w:ascii="Arial" w:hAnsi="Arial"/>
          <w:sz w:val="22"/>
        </w:rPr>
        <w:t xml:space="preserve"> sentence thereof relating to the applicablility of interest on late payments.</w:t>
      </w:r>
    </w:p>
    <w:p>
      <w:pPr>
        <w:pStyle w:val="Normal"/>
        <w:spacing w:before="120" w:after="120"/>
        <w:jc w:val="both"/>
        <w:rPr/>
      </w:pPr>
      <w:r>
        <w:rPr>
          <w:rFonts w:cs="Arial" w:ascii="Arial" w:hAnsi="Arial"/>
          <w:sz w:val="22"/>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/mnt/main-storage/datasets/enron-docs/doc/Sithe_Resale_0927_Mar01.doc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/mnt/main-storage/datasets/enron-docs/doc/Sithe_Resale_0927_Mar01.doc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September 27,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35"/>
        </w:tabs>
        <w:ind w:start="435" w:hanging="435"/>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2000-09-27T12:02:00Z</dcterms:created>
  <dc:creator>dhyvl</dc:creator>
  <dc:description/>
  <dc:language>en-CA</dc:language>
  <cp:lastModifiedBy>dhyvl</cp:lastModifiedBy>
  <cp:lastPrinted>2000-09-25T11:26:00Z</cp:lastPrinted>
  <dcterms:modified xsi:type="dcterms:W3CDTF">2000-09-27T12:02:00Z</dcterms:modified>
  <cp:revision>3</cp:revision>
  <dc:subject/>
  <dc:title>September 16, 2000</dc:title>
</cp:coreProperties>
</file>