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b/>
          <w:sz w:val="22"/>
        </w:rPr>
      </w:pPr>
      <w:r>
        <w:rPr>
          <w:rFonts w:cs="Arial" w:ascii="Arial" w:hAnsi="Arial"/>
          <w:b/>
          <w:sz w:val="22"/>
        </w:rPr>
      </w:r>
    </w:p>
    <w:p>
      <w:pPr>
        <w:pStyle w:val="Normal"/>
        <w:jc w:val="center"/>
        <w:rPr>
          <w:rFonts w:ascii="Arial" w:hAnsi="Arial" w:cs="Arial"/>
          <w:sz w:val="22"/>
        </w:rPr>
      </w:pPr>
      <w:r>
        <w:rPr>
          <w:rFonts w:cs="Arial" w:ascii="Arial" w:hAnsi="Arial"/>
          <w:sz w:val="22"/>
        </w:rPr>
        <w:t>September 22, 2000</w:t>
      </w:r>
    </w:p>
    <w:p>
      <w:pPr>
        <w:pStyle w:val="Normal"/>
        <w:jc w:val="center"/>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Sithe/Independence Power Partners, L.P.</w:t>
      </w:r>
    </w:p>
    <w:p>
      <w:pPr>
        <w:pStyle w:val="Normal"/>
        <w:jc w:val="both"/>
        <w:rPr>
          <w:rFonts w:ascii="Arial" w:hAnsi="Arial" w:cs="Arial"/>
          <w:sz w:val="22"/>
        </w:rPr>
      </w:pPr>
      <w:r>
        <w:rPr>
          <w:rFonts w:cs="Arial" w:ascii="Arial" w:hAnsi="Arial"/>
          <w:sz w:val="22"/>
        </w:rPr>
        <w:t>Attn.:  Marty Rosenberg</w:t>
      </w:r>
    </w:p>
    <w:p>
      <w:pPr>
        <w:pStyle w:val="Normal"/>
        <w:jc w:val="both"/>
        <w:rPr/>
      </w:pPr>
      <w:r>
        <w:rPr>
          <w:rFonts w:cs="Arial" w:ascii="Arial" w:hAnsi="Arial"/>
          <w:sz w:val="22"/>
        </w:rPr>
        <w:t>335 Madison Avenue, 28</w:t>
      </w:r>
      <w:r>
        <w:rPr>
          <w:rFonts w:cs="Arial" w:ascii="Arial" w:hAnsi="Arial"/>
          <w:sz w:val="22"/>
          <w:vertAlign w:val="superscript"/>
        </w:rPr>
        <w:t>th</w:t>
      </w:r>
      <w:r>
        <w:rPr>
          <w:rFonts w:cs="Arial" w:ascii="Arial" w:hAnsi="Arial"/>
          <w:sz w:val="22"/>
        </w:rPr>
        <w:t xml:space="preserve"> Floor</w:t>
      </w:r>
    </w:p>
    <w:p>
      <w:pPr>
        <w:pStyle w:val="Normal"/>
        <w:jc w:val="both"/>
        <w:rPr>
          <w:rFonts w:ascii="Arial" w:hAnsi="Arial" w:cs="Arial"/>
          <w:sz w:val="22"/>
        </w:rPr>
      </w:pPr>
      <w:r>
        <w:rPr>
          <w:rFonts w:cs="Arial" w:ascii="Arial" w:hAnsi="Arial"/>
          <w:sz w:val="22"/>
        </w:rPr>
        <w:t>New York, New York 10017</w:t>
      </w:r>
    </w:p>
    <w:p>
      <w:pPr>
        <w:pStyle w:val="Normal"/>
        <w:jc w:val="center"/>
        <w:rPr>
          <w:rFonts w:ascii="Arial" w:hAnsi="Arial" w:cs="Arial"/>
          <w:sz w:val="22"/>
        </w:rPr>
      </w:pPr>
      <w:r>
        <w:rPr>
          <w:rFonts w:cs="Arial" w:ascii="Arial" w:hAnsi="Arial"/>
          <w:sz w:val="22"/>
        </w:rPr>
        <w:t>TRANSACTION AGREEMENT</w:t>
      </w:r>
    </w:p>
    <w:p>
      <w:pPr>
        <w:pStyle w:val="Normal"/>
        <w:jc w:val="both"/>
        <w:rPr>
          <w:rFonts w:ascii="Arial" w:hAnsi="Arial" w:cs="Arial"/>
          <w:sz w:val="22"/>
        </w:rPr>
      </w:pPr>
      <w:r>
        <w:rPr>
          <w:rFonts w:cs="Arial" w:ascii="Arial" w:hAnsi="Arial"/>
          <w:sz w:val="22"/>
        </w:rPr>
        <w:t>Dear Marty:</w:t>
      </w:r>
    </w:p>
    <w:p>
      <w:pPr>
        <w:pStyle w:val="Normal"/>
        <w:jc w:val="both"/>
        <w:rPr>
          <w:rFonts w:ascii="Arial" w:hAnsi="Arial" w:cs="Arial"/>
          <w:sz w:val="22"/>
        </w:rPr>
      </w:pPr>
      <w:r>
        <w:rPr>
          <w:rFonts w:cs="Arial" w:ascii="Arial" w:hAnsi="Arial"/>
          <w:sz w:val="22"/>
        </w:rPr>
      </w:r>
    </w:p>
    <w:p>
      <w:pPr>
        <w:pStyle w:val="Normal"/>
        <w:spacing w:before="0" w:after="120"/>
        <w:jc w:val="both"/>
        <w:rPr/>
      </w:pPr>
      <w:r>
        <w:rPr>
          <w:rFonts w:cs="Arial" w:ascii="Arial" w:hAnsi="Arial"/>
          <w:sz w:val="22"/>
        </w:rPr>
        <w:t>This Enfolio Confirmation shall confirm the Transaction agreed to on the date hereof and binding between Sithe/Independence Power Partners, L.P. ("</w:t>
      </w:r>
      <w:r>
        <w:rPr>
          <w:rFonts w:cs="Arial" w:ascii="Arial" w:hAnsi="Arial"/>
          <w:b/>
          <w:sz w:val="22"/>
        </w:rPr>
        <w:t>Customer</w:t>
      </w:r>
      <w:r>
        <w:rPr>
          <w:rFonts w:cs="Arial" w:ascii="Arial" w:hAnsi="Arial"/>
          <w:sz w:val="22"/>
        </w:rPr>
        <w:t>") and Enron North America Corp. ("</w:t>
      </w:r>
      <w:r>
        <w:rPr>
          <w:rFonts w:cs="Arial" w:ascii="Arial" w:hAnsi="Arial"/>
          <w:b/>
          <w:sz w:val="22"/>
        </w:rPr>
        <w:t>Company</w:t>
      </w:r>
      <w:r>
        <w:rPr>
          <w:rFonts w:cs="Arial" w:ascii="Arial" w:hAnsi="Arial"/>
          <w:sz w:val="22"/>
        </w:rPr>
        <w:t>") regarding the purchase and sale of Gas on the following terms.  Transaction No. ______</w:t>
      </w:r>
    </w:p>
    <w:p>
      <w:pPr>
        <w:pStyle w:val="Normal"/>
        <w:spacing w:before="0" w:after="120"/>
        <w:jc w:val="both"/>
        <w:rPr>
          <w:rFonts w:ascii="Arial" w:hAnsi="Arial" w:cs="Arial"/>
          <w:sz w:val="22"/>
        </w:rPr>
      </w:pPr>
      <w:r>
        <w:rPr>
          <w:rFonts w:cs="Arial" w:ascii="Arial" w:hAnsi="Arial"/>
          <w:sz w:val="22"/>
        </w:rPr>
      </w:r>
    </w:p>
    <w:p>
      <w:pPr>
        <w:pStyle w:val="Heading1"/>
        <w:ind w:hanging="0" w:start="0"/>
        <w:rPr/>
      </w:pPr>
      <w:r>
        <w:rPr/>
        <w:t>Part I</w:t>
      </w:r>
    </w:p>
    <w:p>
      <w:pPr>
        <w:pStyle w:val="Normal"/>
        <w:spacing w:before="0" w:after="120"/>
        <w:jc w:val="both"/>
        <w:rPr/>
      </w:pPr>
      <w:r>
        <w:rPr>
          <w:rFonts w:cs="Arial" w:ascii="Arial" w:hAnsi="Arial"/>
          <w:sz w:val="22"/>
        </w:rPr>
        <w:t>Company to purchase and receive (</w:t>
      </w:r>
      <w:r>
        <w:rPr>
          <w:rFonts w:cs="Arial" w:ascii="Arial" w:hAnsi="Arial"/>
          <w:b/>
          <w:sz w:val="22"/>
        </w:rPr>
        <w:t>Buyer</w:t>
      </w:r>
      <w:r>
        <w:rPr>
          <w:rFonts w:cs="Arial" w:ascii="Arial" w:hAnsi="Arial"/>
          <w:sz w:val="22"/>
        </w:rPr>
        <w:t>) and Customer to sell and deliver (</w:t>
      </w:r>
      <w:r>
        <w:rPr>
          <w:rFonts w:cs="Arial" w:ascii="Arial" w:hAnsi="Arial"/>
          <w:b/>
          <w:sz w:val="22"/>
        </w:rPr>
        <w:t>Seller</w:t>
      </w:r>
      <w:r>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DCQ (IN MMBTUS):</w:t>
            </w:r>
          </w:p>
        </w:tc>
        <w:tc>
          <w:tcPr>
            <w:tcW w:w="6588" w:type="dxa"/>
            <w:tcBorders/>
          </w:tcPr>
          <w:p>
            <w:pPr>
              <w:pStyle w:val="Normal"/>
              <w:jc w:val="both"/>
              <w:rPr>
                <w:rFonts w:ascii="Arial" w:hAnsi="Arial" w:cs="Arial"/>
                <w:sz w:val="22"/>
              </w:rPr>
            </w:pPr>
            <w:r>
              <w:rPr>
                <w:rFonts w:cs="Arial" w:ascii="Arial" w:hAnsi="Arial"/>
                <w:sz w:val="22"/>
              </w:rPr>
              <w:t xml:space="preserve">1)  106,000 MMBtu per Day for the period October 1, 2000 through October 16, 2000. </w:t>
            </w:r>
          </w:p>
          <w:p>
            <w:pPr>
              <w:pStyle w:val="Normal"/>
              <w:jc w:val="both"/>
              <w:rPr>
                <w:rFonts w:ascii="Arial" w:hAnsi="Arial" w:cs="Arial"/>
                <w:sz w:val="22"/>
              </w:rPr>
            </w:pPr>
            <w:r>
              <w:rPr>
                <w:rFonts w:cs="Arial" w:ascii="Arial" w:hAnsi="Arial"/>
                <w:sz w:val="22"/>
              </w:rPr>
              <w:t>2)  10,839 MMBtu per 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ANR LA Headstation (81,000 MMBtu/day for the period October 1, 2000 through October 16, 2000) and ANR OK Headstation (25,000 MMBtu/day for the period October 1, 2000 through October 16, 2000 and 10,839 MMBtu/day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snapToGrid w:val="false"/>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[(106,000 MMBtu/day) X # of days in Period of Delivery from October 1, 2000 through October 16, 2000 and (10,839 MMBtu/day) X # of days in Period of Delivery from October 17, 2000 through October 31, 2000], and the Value is equal to the sum of Part (a) and Part (b) computed separately for the Period of Delivery from October 1, 2000 through October 16, 2000 and for the Period of Delivery from October 17, 2000 through October 31, 2000:</w:t>
            </w:r>
          </w:p>
          <w:p>
            <w:pPr>
              <w:pStyle w:val="Normal"/>
              <w:jc w:val="both"/>
              <w:rPr>
                <w:rFonts w:ascii="Arial" w:hAnsi="Arial" w:cs="Arial"/>
                <w:sz w:val="22"/>
              </w:rPr>
            </w:pPr>
            <w:r>
              <w:rPr>
                <w:rFonts w:cs="Arial" w:ascii="Arial" w:hAnsi="Arial"/>
                <w:sz w:val="22"/>
              </w:rPr>
              <w:t>Part (a):  The value obtained by the formula [(A  X B) + C].</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t>Part (b): The value, if positive, obtained by the formula [50% X (D minus the value obtained in Part (a) above)].</w:t>
            </w:r>
          </w:p>
          <w:p>
            <w:pPr>
              <w:pStyle w:val="Normal"/>
              <w:tabs>
                <w:tab w:val="clear" w:pos="720"/>
                <w:tab w:val="left" w:pos="972" w:leader="none"/>
              </w:tabs>
              <w:ind w:hanging="972" w:start="972" w:end="0"/>
              <w:jc w:val="both"/>
              <w:rPr>
                <w:rFonts w:ascii="Arial" w:hAnsi="Arial" w:cs="Arial"/>
                <w:sz w:val="22"/>
              </w:rPr>
            </w:pPr>
            <w:r>
              <w:rPr>
                <w:rFonts w:cs="Arial" w:ascii="Arial" w:hAnsi="Arial"/>
                <w:sz w:val="22"/>
              </w:rPr>
            </w:r>
          </w:p>
        </w:tc>
      </w:tr>
      <w:tr>
        <w:trPr/>
        <w:tc>
          <w:tcPr>
            <w:tcW w:w="4428" w:type="dxa"/>
            <w:tcBorders/>
          </w:tcPr>
          <w:p>
            <w:pPr>
              <w:pStyle w:val="Normal"/>
              <w:snapToGrid w:val="false"/>
              <w:spacing w:before="240" w:after="0"/>
              <w:jc w:val="both"/>
              <w:rPr>
                <w:rFonts w:ascii="Arial" w:hAnsi="Arial" w:cs="Arial"/>
                <w:sz w:val="22"/>
              </w:rPr>
            </w:pPr>
            <w:r>
              <w:rPr>
                <w:rFonts w:cs="Arial" w:ascii="Arial" w:hAnsi="Arial"/>
                <w:sz w:val="22"/>
              </w:rPr>
            </w:r>
          </w:p>
        </w:tc>
        <w:tc>
          <w:tcPr>
            <w:tcW w:w="6588" w:type="dxa"/>
            <w:tcBorders/>
          </w:tcPr>
          <w:p>
            <w:pPr>
              <w:pStyle w:val="Normal"/>
              <w:numPr>
                <w:ilvl w:val="0"/>
                <w:numId w:val="2"/>
              </w:numPr>
              <w:jc w:val="both"/>
              <w:rPr>
                <w:rFonts w:ascii="Arial" w:hAnsi="Arial" w:cs="Arial"/>
                <w:sz w:val="22"/>
              </w:rPr>
            </w:pPr>
            <w:r>
              <w:rPr>
                <w:rFonts w:cs="Arial" w:ascii="Arial" w:hAnsi="Arial"/>
                <w:sz w:val="22"/>
              </w:rPr>
              <w:t>Decrease in MWhs delivered to NY ISO due to shutdown (570 MW) X (24 hrs/day) X (# of days in Period of Delivery).</w:t>
            </w:r>
          </w:p>
          <w:p>
            <w:pPr>
              <w:pStyle w:val="Normal"/>
              <w:numPr>
                <w:ilvl w:val="0"/>
                <w:numId w:val="2"/>
              </w:numPr>
              <w:jc w:val="both"/>
              <w:rPr>
                <w:rFonts w:ascii="Arial" w:hAnsi="Arial" w:cs="Arial"/>
                <w:sz w:val="22"/>
              </w:rPr>
            </w:pPr>
            <w:r>
              <w:rPr>
                <w:rFonts w:cs="Arial" w:ascii="Arial" w:hAnsi="Arial"/>
                <w:sz w:val="22"/>
              </w:rPr>
              <w:t>Average of the locational based marginal price(s) ($/MWh) in the NY ISO day ahead market at the Independence bus bar for the relevant hours for the Period of Delivery from October 1, 2000 through October 16, 2000; and zero for the Period of Delivery from October 17, 2000 through October 31, 2000.</w:t>
            </w:r>
          </w:p>
          <w:p>
            <w:pPr>
              <w:pStyle w:val="Normal"/>
              <w:numPr>
                <w:ilvl w:val="0"/>
                <w:numId w:val="2"/>
              </w:numPr>
              <w:jc w:val="both"/>
              <w:rPr>
                <w:rFonts w:ascii="Arial" w:hAnsi="Arial" w:cs="Arial"/>
                <w:sz w:val="22"/>
              </w:rPr>
            </w:pPr>
            <w:r>
              <w:rPr>
                <w:rFonts w:cs="Arial" w:ascii="Arial" w:hAnsi="Arial"/>
                <w:sz w:val="22"/>
              </w:rPr>
              <w:t>Other taxes and reasonable transaction costs incurred by Customer.</w:t>
            </w:r>
          </w:p>
          <w:p>
            <w:pPr>
              <w:pStyle w:val="Normal"/>
              <w:numPr>
                <w:ilvl w:val="0"/>
                <w:numId w:val="2"/>
              </w:numPr>
              <w:jc w:val="both"/>
              <w:rPr>
                <w:rFonts w:ascii="Arial" w:hAnsi="Arial" w:cs="Arial"/>
                <w:sz w:val="22"/>
              </w:rPr>
            </w:pPr>
            <w:r>
              <w:rPr>
                <w:rFonts w:cs="Arial" w:ascii="Arial" w:hAnsi="Arial"/>
                <w:sz w:val="22"/>
              </w:rPr>
              <w:t>$________ per MMBtu X 106,000 MMBtu/day X 16 days for the period October 1, 2000 through October 16, 2000; and $________ per MMBtu X 10,839 MMBtu/day X 15 days for the period October 17, 2000 through October 31, 2000.</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OTHER:</w:t>
            </w:r>
          </w:p>
        </w:tc>
        <w:tc>
          <w:tcPr>
            <w:tcW w:w="6588" w:type="dxa"/>
            <w:tcBorders/>
          </w:tcPr>
          <w:p>
            <w:pPr>
              <w:pStyle w:val="Normal"/>
              <w:tabs>
                <w:tab w:val="clear" w:pos="720"/>
                <w:tab w:val="left" w:pos="0" w:leader="none"/>
              </w:tabs>
              <w:jc w:val="both"/>
              <w:rPr/>
            </w:pPr>
            <w:r>
              <w:rPr>
                <w:rFonts w:cs="Arial" w:ascii="Arial" w:hAnsi="Arial"/>
                <w:iCs/>
                <w:sz w:val="22"/>
              </w:rPr>
              <w:t>On or before the 10</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submit an invoice, with relevant backup, to Company for amounts due under Part I hereof for the preceding calendar month.  Company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  </w:t>
            </w:r>
          </w:p>
          <w:p>
            <w:pPr>
              <w:pStyle w:val="Normal"/>
              <w:tabs>
                <w:tab w:val="clear" w:pos="720"/>
                <w:tab w:val="left" w:pos="0" w:leader="none"/>
              </w:tabs>
              <w:jc w:val="both"/>
              <w:rPr>
                <w:rFonts w:ascii="Arial" w:hAnsi="Arial" w:cs="Arial"/>
                <w:iCs/>
                <w:sz w:val="22"/>
              </w:rPr>
            </w:pPr>
            <w:r>
              <w:rPr>
                <w:rFonts w:cs="Arial" w:ascii="Arial" w:hAnsi="Arial"/>
                <w:iCs/>
                <w:sz w:val="22"/>
              </w:rPr>
            </w:r>
          </w:p>
        </w:tc>
      </w:tr>
    </w:tbl>
    <w:p>
      <w:pPr>
        <w:pStyle w:val="Heading1"/>
        <w:ind w:hanging="0" w:start="0"/>
        <w:rPr/>
      </w:pPr>
      <w:r>
        <w:rPr/>
        <w:t>Part II</w:t>
      </w:r>
    </w:p>
    <w:p>
      <w:pPr>
        <w:pStyle w:val="Normal"/>
        <w:tabs>
          <w:tab w:val="clear" w:pos="720"/>
          <w:tab w:val="left" w:pos="0" w:leader="none"/>
        </w:tabs>
        <w:spacing w:before="0" w:after="120"/>
        <w:jc w:val="both"/>
        <w:rPr>
          <w:rFonts w:ascii="Arial" w:hAnsi="Arial" w:cs="Arial"/>
          <w:b/>
          <w:sz w:val="22"/>
        </w:rPr>
      </w:pPr>
      <w:r>
        <w:rPr>
          <w:rFonts w:cs="Arial" w:ascii="Arial" w:hAnsi="Arial"/>
          <w:sz w:val="22"/>
        </w:rPr>
        <w:t>Customer to purchase and receive (</w:t>
      </w:r>
      <w:r>
        <w:rPr>
          <w:rFonts w:cs="Arial" w:ascii="Arial" w:hAnsi="Arial"/>
          <w:b/>
          <w:sz w:val="22"/>
        </w:rPr>
        <w:t>Buyer</w:t>
      </w:r>
      <w:r>
        <w:rPr>
          <w:rFonts w:cs="Arial" w:ascii="Arial" w:hAnsi="Arial"/>
          <w:sz w:val="22"/>
        </w:rPr>
        <w:t>) and Company to sell and deliver (</w:t>
      </w:r>
      <w:r>
        <w:rPr>
          <w:rFonts w:cs="Arial" w:ascii="Arial" w:hAnsi="Arial"/>
          <w:b/>
          <w:sz w:val="22"/>
        </w:rPr>
        <w:t>Seller</w:t>
      </w:r>
      <w:r>
        <w:rPr>
          <w:rFonts w:cs="Arial" w:ascii="Arial" w:hAnsi="Arial"/>
          <w:sz w:val="22"/>
        </w:rPr>
        <w:t>).</w:t>
      </w:r>
    </w:p>
    <w:tbl>
      <w:tblPr>
        <w:tblW w:w="11016" w:type="dxa"/>
        <w:jc w:val="start"/>
        <w:tblInd w:w="0" w:type="dxa"/>
        <w:tblLayout w:type="fixed"/>
        <w:tblCellMar>
          <w:top w:w="0" w:type="dxa"/>
          <w:start w:w="108" w:type="dxa"/>
          <w:bottom w:w="0" w:type="dxa"/>
          <w:end w:w="108" w:type="dxa"/>
        </w:tblCellMar>
      </w:tblPr>
      <w:tblGrid>
        <w:gridCol w:w="4428"/>
        <w:gridCol w:w="6588"/>
      </w:tblGrid>
      <w:tr>
        <w:trPr/>
        <w:tc>
          <w:tcPr>
            <w:tcW w:w="4428" w:type="dxa"/>
            <w:tcBorders/>
          </w:tcPr>
          <w:p>
            <w:pPr>
              <w:pStyle w:val="Normal"/>
              <w:jc w:val="both"/>
              <w:rPr>
                <w:rFonts w:ascii="Arial" w:hAnsi="Arial" w:cs="Arial"/>
                <w:sz w:val="22"/>
              </w:rPr>
            </w:pPr>
            <w:r>
              <w:rPr>
                <w:rFonts w:cs="Arial" w:ascii="Arial" w:hAnsi="Arial"/>
                <w:b/>
                <w:sz w:val="22"/>
              </w:rPr>
              <w:t>TIER OF GAS:</w:t>
            </w:r>
          </w:p>
        </w:tc>
        <w:tc>
          <w:tcPr>
            <w:tcW w:w="6588" w:type="dxa"/>
            <w:tcBorders/>
          </w:tcPr>
          <w:p>
            <w:pPr>
              <w:pStyle w:val="Normal"/>
              <w:jc w:val="both"/>
              <w:rPr>
                <w:rFonts w:ascii="Arial" w:hAnsi="Arial" w:cs="Arial"/>
                <w:sz w:val="22"/>
              </w:rPr>
            </w:pPr>
            <w:r>
              <w:rPr>
                <w:rFonts w:cs="Arial" w:ascii="Arial" w:hAnsi="Arial"/>
                <w:sz w:val="22"/>
              </w:rPr>
              <w:t>Tier 3 - Firm Gas</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bCs/>
                <w:sz w:val="22"/>
              </w:rPr>
            </w:pPr>
            <w:r>
              <w:rPr>
                <w:rFonts w:cs="Arial" w:ascii="Arial" w:hAnsi="Arial"/>
                <w:b/>
                <w:bCs/>
                <w:sz w:val="22"/>
              </w:rPr>
              <w:t>DCQ (IN MMBTUS):</w:t>
            </w:r>
          </w:p>
        </w:tc>
        <w:tc>
          <w:tcPr>
            <w:tcW w:w="6588" w:type="dxa"/>
            <w:tcBorders/>
          </w:tcPr>
          <w:p>
            <w:pPr>
              <w:pStyle w:val="Normal"/>
              <w:tabs>
                <w:tab w:val="clear" w:pos="720"/>
                <w:tab w:val="left" w:pos="72" w:leader="none"/>
              </w:tabs>
              <w:ind w:start="72" w:end="0"/>
              <w:jc w:val="both"/>
              <w:rPr>
                <w:rFonts w:ascii="Arial" w:hAnsi="Arial" w:cs="Arial"/>
                <w:sz w:val="22"/>
              </w:rPr>
            </w:pPr>
            <w:r>
              <w:rPr>
                <w:rFonts w:cs="Arial" w:ascii="Arial" w:hAnsi="Arial"/>
                <w:sz w:val="22"/>
              </w:rPr>
              <w:t>Volume scheduled by Customer up to the MaxDQ for the day of flow.</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sz w:val="22"/>
              </w:rPr>
            </w:pPr>
            <w:r>
              <w:rPr>
                <w:rFonts w:cs="Arial" w:ascii="Arial" w:hAnsi="Arial"/>
                <w:b/>
                <w:sz w:val="22"/>
              </w:rPr>
              <w:t>MaxDQ (IN MMBTUS):</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Up to 70,000 MMBtu per Day</w:t>
            </w:r>
          </w:p>
        </w:tc>
      </w:tr>
      <w:tr>
        <w:trPr/>
        <w:tc>
          <w:tcPr>
            <w:tcW w:w="4428" w:type="dxa"/>
            <w:tcBorders/>
          </w:tcPr>
          <w:p>
            <w:pPr>
              <w:pStyle w:val="Normal"/>
              <w:snapToGrid w:val="false"/>
              <w:jc w:val="both"/>
              <w:rPr>
                <w:rFonts w:ascii="Arial" w:hAnsi="Arial" w:cs="Arial"/>
                <w:sz w:val="22"/>
              </w:rPr>
            </w:pPr>
            <w:r>
              <w:rPr>
                <w:rFonts w:cs="Arial" w:ascii="Arial" w:hAnsi="Arial"/>
                <w:sz w:val="22"/>
              </w:rPr>
            </w:r>
          </w:p>
        </w:tc>
        <w:tc>
          <w:tcPr>
            <w:tcW w:w="6588" w:type="dxa"/>
            <w:tcBorders/>
          </w:tcPr>
          <w:p>
            <w:pPr>
              <w:pStyle w:val="Normal"/>
              <w:tabs>
                <w:tab w:val="clear" w:pos="720"/>
                <w:tab w:val="left" w:pos="432" w:leader="none"/>
              </w:tabs>
              <w:snapToGrid w:val="false"/>
              <w:ind w:hanging="432" w:start="432" w:end="0"/>
              <w:jc w:val="both"/>
              <w:rPr>
                <w:rFonts w:ascii="Arial" w:hAnsi="Arial" w:cs="Arial"/>
                <w:sz w:val="22"/>
              </w:rPr>
            </w:pPr>
            <w:r>
              <w:rPr>
                <w:rFonts w:cs="Arial" w:ascii="Arial" w:hAnsi="Arial"/>
                <w:sz w:val="22"/>
              </w:rPr>
            </w:r>
          </w:p>
        </w:tc>
      </w:tr>
      <w:tr>
        <w:trPr/>
        <w:tc>
          <w:tcPr>
            <w:tcW w:w="4428" w:type="dxa"/>
            <w:tcBorders/>
          </w:tcPr>
          <w:p>
            <w:pPr>
              <w:pStyle w:val="Normal"/>
              <w:jc w:val="both"/>
              <w:rPr>
                <w:rFonts w:ascii="Arial" w:hAnsi="Arial" w:cs="Arial"/>
                <w:b/>
                <w:sz w:val="22"/>
              </w:rPr>
            </w:pPr>
            <w:r>
              <w:rPr>
                <w:rFonts w:cs="Arial" w:ascii="Arial" w:hAnsi="Arial"/>
                <w:b/>
                <w:sz w:val="22"/>
              </w:rPr>
              <w:t>DELIVERY POINT(S):</w:t>
            </w:r>
          </w:p>
        </w:tc>
        <w:tc>
          <w:tcPr>
            <w:tcW w:w="6588" w:type="dxa"/>
            <w:tcBorders/>
          </w:tcPr>
          <w:p>
            <w:pPr>
              <w:pStyle w:val="Normal"/>
              <w:jc w:val="both"/>
              <w:rPr>
                <w:rFonts w:ascii="Arial" w:hAnsi="Arial" w:cs="Arial"/>
                <w:sz w:val="22"/>
              </w:rPr>
            </w:pPr>
            <w:r>
              <w:rPr>
                <w:rFonts w:cs="Arial" w:ascii="Arial" w:hAnsi="Arial"/>
                <w:sz w:val="22"/>
              </w:rPr>
              <w:t>Interconnect of the Empire Pipeline and TransCanada Pipeline at the U.S./Canada border, or other mutually agreed upon point(s).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 xml:space="preserve">PERIOD OF DELIVERY:  </w:t>
            </w:r>
          </w:p>
        </w:tc>
        <w:tc>
          <w:tcPr>
            <w:tcW w:w="6588" w:type="dxa"/>
            <w:tcBorders/>
          </w:tcPr>
          <w:p>
            <w:pPr>
              <w:pStyle w:val="Normal"/>
              <w:jc w:val="both"/>
              <w:rPr>
                <w:rFonts w:ascii="Arial" w:hAnsi="Arial" w:cs="Arial"/>
                <w:sz w:val="22"/>
              </w:rPr>
            </w:pPr>
            <w:r>
              <w:rPr>
                <w:rFonts w:cs="Arial" w:ascii="Arial" w:hAnsi="Arial"/>
                <w:sz w:val="22"/>
              </w:rPr>
              <w:t>October 1, 2000 through October 31, 2000.</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CONTRACT PRICE (PER MMBTU):</w:t>
            </w:r>
          </w:p>
        </w:tc>
        <w:tc>
          <w:tcPr>
            <w:tcW w:w="6588" w:type="dxa"/>
            <w:tcBorders/>
          </w:tcPr>
          <w:p>
            <w:pPr>
              <w:pStyle w:val="Normal"/>
              <w:jc w:val="both"/>
              <w:rPr>
                <w:rFonts w:ascii="Arial" w:hAnsi="Arial" w:cs="Arial"/>
                <w:sz w:val="22"/>
              </w:rPr>
            </w:pPr>
            <w:r>
              <w:rPr>
                <w:rFonts w:cs="Arial" w:ascii="Arial" w:hAnsi="Arial"/>
                <w:sz w:val="22"/>
              </w:rPr>
              <w:t>Value/Volume, where the Volume is equal to the DCQ for a day and Value is equal to the sum of (i) and (ii):</w:t>
            </w:r>
          </w:p>
          <w:p>
            <w:pPr>
              <w:pStyle w:val="Normal"/>
              <w:ind w:hanging="450" w:start="792" w:end="0"/>
              <w:jc w:val="both"/>
              <w:rPr>
                <w:rFonts w:ascii="Arial" w:hAnsi="Arial" w:cs="Arial"/>
                <w:sz w:val="22"/>
              </w:rPr>
            </w:pPr>
            <w:r>
              <w:rPr>
                <w:rFonts w:cs="Arial" w:ascii="Arial" w:hAnsi="Arial"/>
                <w:sz w:val="22"/>
              </w:rPr>
              <w:t>(i)    Company Bid Price per MMBtu.</w:t>
            </w:r>
          </w:p>
          <w:p>
            <w:pPr>
              <w:pStyle w:val="Normal"/>
              <w:ind w:hanging="450" w:start="792" w:end="0"/>
              <w:jc w:val="both"/>
              <w:rPr>
                <w:rFonts w:ascii="Arial" w:hAnsi="Arial" w:cs="Arial"/>
                <w:sz w:val="22"/>
              </w:rPr>
            </w:pPr>
            <w:r>
              <w:rPr>
                <w:rFonts w:cs="Arial" w:ascii="Arial" w:hAnsi="Arial"/>
                <w:sz w:val="22"/>
              </w:rPr>
              <w:t>(ii)    Amount obtained by the formula [50% (A – B)].</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spacing w:before="240" w:after="0"/>
              <w:ind w:hanging="432" w:start="432" w:end="0"/>
              <w:jc w:val="both"/>
              <w:rPr/>
            </w:pPr>
            <w:r>
              <w:rPr>
                <w:rFonts w:cs="Arial" w:ascii="Arial" w:hAnsi="Arial"/>
                <w:b/>
                <w:sz w:val="22"/>
              </w:rPr>
              <w:t>A.</w:t>
              <w:tab/>
            </w:r>
            <w:r>
              <w:rPr>
                <w:rFonts w:cs="Arial" w:ascii="Arial" w:hAnsi="Arial"/>
                <w:sz w:val="22"/>
              </w:rPr>
              <w:t>The product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w:t>
              <w:tab/>
              <w:t>MWhs delivered to NY ISO related to generating capacity made available by the output reduction.</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w:t>
              <w:tab/>
              <w:t>Revenues per MWh received by Customer based on Customer’s bid price to the NY ISO for Customer’s day ahead MWhs delivered to the NY ISO related to generation capacity made available by the output reduction at Independence bus bar for the relevant hours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0" w:leader="none"/>
              </w:tabs>
              <w:ind w:hanging="360" w:start="432" w:end="0"/>
              <w:jc w:val="both"/>
              <w:rPr>
                <w:rFonts w:ascii="Arial" w:hAnsi="Arial" w:cs="Arial"/>
                <w:sz w:val="22"/>
              </w:rPr>
            </w:pPr>
            <w:r>
              <w:rPr>
                <w:rFonts w:cs="Arial" w:ascii="Arial" w:hAnsi="Arial"/>
                <w:b/>
                <w:sz w:val="22"/>
              </w:rPr>
              <w:t>B.</w:t>
              <w:tab/>
            </w:r>
            <w:r>
              <w:rPr>
                <w:rFonts w:cs="Arial" w:ascii="Arial" w:hAnsi="Arial"/>
                <w:bCs/>
                <w:sz w:val="22"/>
              </w:rPr>
              <w:t>The sum of (1) and (2):</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(1)</w:t>
              <w:tab/>
              <w:t>Customer’s cost of producing such electric energy utilizing the gas delivered at the Company Bid Price per MMBtu and including variable costs for gas transportation and incremental operation and maintenance costs.</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ind w:hanging="432" w:start="432" w:end="0"/>
              <w:jc w:val="both"/>
              <w:rPr>
                <w:rFonts w:ascii="Arial" w:hAnsi="Arial" w:cs="Arial"/>
                <w:sz w:val="22"/>
              </w:rPr>
            </w:pPr>
            <w:r>
              <w:rPr>
                <w:rFonts w:cs="Arial" w:ascii="Arial" w:hAnsi="Arial"/>
                <w:sz w:val="22"/>
              </w:rPr>
              <w:t>(2)</w:t>
              <w:tab/>
              <w:t>Other taxes and reasonable transaction costs incurred by Customer.</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snapToGrid w:val="false"/>
              <w:ind w:hanging="432" w:start="432" w:end="0"/>
              <w:jc w:val="both"/>
              <w:rPr>
                <w:rFonts w:ascii="Arial" w:hAnsi="Arial" w:cs="Arial"/>
                <w:b/>
                <w:sz w:val="22"/>
              </w:rPr>
            </w:pPr>
            <w:r>
              <w:rPr>
                <w:rFonts w:cs="Arial" w:ascii="Arial" w:hAnsi="Arial"/>
                <w:b/>
                <w:sz w:val="22"/>
              </w:rPr>
            </w:r>
          </w:p>
        </w:tc>
      </w:tr>
      <w:tr>
        <w:trPr/>
        <w:tc>
          <w:tcPr>
            <w:tcW w:w="4428" w:type="dxa"/>
            <w:tcBorders/>
          </w:tcPr>
          <w:p>
            <w:pPr>
              <w:pStyle w:val="Normal"/>
              <w:jc w:val="both"/>
              <w:rPr>
                <w:rFonts w:ascii="Arial" w:hAnsi="Arial" w:cs="Arial"/>
                <w:b/>
                <w:sz w:val="22"/>
              </w:rPr>
            </w:pPr>
            <w:r>
              <w:rPr>
                <w:rFonts w:cs="Arial" w:ascii="Arial" w:hAnsi="Arial"/>
                <w:b/>
                <w:sz w:val="22"/>
              </w:rPr>
              <w:t>OTHER:</w:t>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1.  Company shall provide quotes for on-peak generation and start-up gas in the day ahead market to Customer for volumes of natural gas to be delivered to Customer at the Delivery Point(s) in support of Customer’s on-peak bids into the day ahead market in respect of energy related to the generating capacity made available by the reduction in output of 570 MW (“Company Bid Price per MMBtu” herein), such Company Bid Price per MMBtu to be provided not later than 3:00 p.m. Central Clock Time on the second day preceding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2.   If Customer is called upon by NY ISO in respect to any on- peak bid for on-peak generation and associated start-up gas in the day ahead market in respect of energy related to the generating capacity made available by the reduction in output of 570 MW, Customer shall schedule a volume of natural gas up to the MaxDQ with Company as soon as reasonably practical but not later than 11:00 a.m. Central Clock Time of the day prior to the day of flow, which volume shall be priced at the Company Bid Price per MMBtu and confirmed by Company to Customer as the DCQ for the day of flow.</w:t>
            </w:r>
          </w:p>
        </w:tc>
      </w:tr>
      <w:tr>
        <w:trPr/>
        <w:tc>
          <w:tcPr>
            <w:tcW w:w="4428" w:type="dxa"/>
            <w:tcBorders/>
          </w:tcPr>
          <w:p>
            <w:pPr>
              <w:pStyle w:val="Normal"/>
              <w:snapToGrid w:val="false"/>
              <w:jc w:val="both"/>
              <w:rPr>
                <w:rFonts w:ascii="Arial" w:hAnsi="Arial" w:cs="Arial"/>
                <w:b/>
                <w:sz w:val="22"/>
              </w:rPr>
            </w:pPr>
            <w:r>
              <w:rPr>
                <w:rFonts w:cs="Arial" w:ascii="Arial" w:hAnsi="Arial"/>
                <w:b/>
                <w:sz w:val="22"/>
              </w:rPr>
            </w:r>
          </w:p>
        </w:tc>
        <w:tc>
          <w:tcPr>
            <w:tcW w:w="6588" w:type="dxa"/>
            <w:tcBorders/>
          </w:tcPr>
          <w:p>
            <w:pPr>
              <w:pStyle w:val="Normal"/>
              <w:tabs>
                <w:tab w:val="clear" w:pos="720"/>
                <w:tab w:val="left" w:pos="432" w:leader="none"/>
              </w:tabs>
              <w:ind w:hanging="432" w:start="432" w:end="0"/>
              <w:jc w:val="both"/>
              <w:rPr>
                <w:rFonts w:ascii="Arial" w:hAnsi="Arial" w:cs="Arial"/>
                <w:sz w:val="22"/>
              </w:rPr>
            </w:pPr>
            <w:r>
              <w:rPr>
                <w:rFonts w:cs="Arial" w:ascii="Arial" w:hAnsi="Arial"/>
                <w:sz w:val="22"/>
              </w:rPr>
              <w:t>3.</w:t>
              <w:tab/>
              <w:t>Company shall make the necessary nominations to Empire Pipeline and the Niagara Mohawk Pipeline for the volumes scheduled by Customer with Company pursuant to paragraph 2 above for on-peak generation and start-up gas in the day ahead market.  In the event Company fails to nominate such scheduled volumes, Company shall be responsible for the balancing and imbalance costs and penalties which result directly from such failure to nominate such scheduled volumes for the day of flow.</w:t>
            </w:r>
          </w:p>
          <w:p>
            <w:pPr>
              <w:pStyle w:val="Normal"/>
              <w:tabs>
                <w:tab w:val="clear" w:pos="720"/>
                <w:tab w:val="left" w:pos="432" w:leader="none"/>
              </w:tabs>
              <w:ind w:hanging="432" w:start="432" w:end="0"/>
              <w:jc w:val="both"/>
              <w:rPr>
                <w:rFonts w:ascii="Arial" w:hAnsi="Arial" w:cs="Arial"/>
                <w:sz w:val="22"/>
              </w:rPr>
            </w:pPr>
            <w:r>
              <w:rPr>
                <w:rFonts w:cs="Arial" w:ascii="Arial" w:hAnsi="Arial"/>
                <w:sz w:val="22"/>
              </w:rPr>
              <w:t>4.</w:t>
              <w:tab/>
            </w:r>
            <w:r>
              <w:rPr>
                <w:rFonts w:cs="Arial" w:ascii="Arial" w:hAnsi="Arial"/>
                <w:iCs/>
                <w:sz w:val="22"/>
              </w:rPr>
              <w:t>On or before the 5</w:t>
            </w:r>
            <w:r>
              <w:rPr>
                <w:rFonts w:cs="Arial" w:ascii="Arial" w:hAnsi="Arial"/>
                <w:iCs/>
                <w:sz w:val="22"/>
                <w:vertAlign w:val="superscript"/>
              </w:rPr>
              <w:t>th</w:t>
            </w:r>
            <w:r>
              <w:rPr>
                <w:rFonts w:cs="Arial" w:ascii="Arial" w:hAnsi="Arial"/>
                <w:iCs/>
                <w:sz w:val="22"/>
              </w:rPr>
              <w:t xml:space="preserve"> day of each calendar month (or, if not a business day, the succeeding business day), Customer shall provide Company with the necessary revenue and cost information, including third party backup therefor, to enable Company to calculate the amounts due under Part II hereof.  On or before the tenth (10</w:t>
            </w:r>
            <w:r>
              <w:rPr>
                <w:rFonts w:cs="Arial" w:ascii="Arial" w:hAnsi="Arial"/>
                <w:iCs/>
                <w:sz w:val="22"/>
                <w:vertAlign w:val="superscript"/>
              </w:rPr>
              <w:t>th</w:t>
            </w:r>
            <w:r>
              <w:rPr>
                <w:rFonts w:cs="Arial" w:ascii="Arial" w:hAnsi="Arial"/>
                <w:iCs/>
                <w:sz w:val="22"/>
              </w:rPr>
              <w:t>) day of each calendar month (or, if not a business day, the succeeding business day), Company shall submit an invoice, with relevant backup, to Customer for amounts due under Part II hereof for the preceding calendar month.  Customer shall pay such amounts on or before the twentieth (20</w:t>
            </w:r>
            <w:r>
              <w:rPr>
                <w:rFonts w:cs="Arial" w:ascii="Arial" w:hAnsi="Arial"/>
                <w:iCs/>
                <w:sz w:val="22"/>
                <w:vertAlign w:val="superscript"/>
              </w:rPr>
              <w:t>th</w:t>
            </w:r>
            <w:r>
              <w:rPr>
                <w:rFonts w:cs="Arial" w:ascii="Arial" w:hAnsi="Arial"/>
                <w:iCs/>
                <w:sz w:val="22"/>
              </w:rPr>
              <w:t>) day of such calendar month (or, if not a business day, the succeeding business day), provided, however, that if the invoice is delivered after the 10</w:t>
            </w:r>
            <w:r>
              <w:rPr>
                <w:rFonts w:cs="Arial" w:ascii="Arial" w:hAnsi="Arial"/>
                <w:iCs/>
                <w:sz w:val="22"/>
                <w:vertAlign w:val="superscript"/>
              </w:rPr>
              <w:t>th</w:t>
            </w:r>
            <w:r>
              <w:rPr>
                <w:rFonts w:cs="Arial" w:ascii="Arial" w:hAnsi="Arial"/>
                <w:iCs/>
                <w:sz w:val="22"/>
              </w:rPr>
              <w:t xml:space="preserve"> day of a calendar month (or, if not a business day, the succeeding business day), the day for payment shall be the 10</w:t>
            </w:r>
            <w:r>
              <w:rPr>
                <w:rFonts w:cs="Arial" w:ascii="Arial" w:hAnsi="Arial"/>
                <w:iCs/>
                <w:sz w:val="22"/>
                <w:vertAlign w:val="superscript"/>
              </w:rPr>
              <w:t>th</w:t>
            </w:r>
            <w:r>
              <w:rPr>
                <w:rFonts w:cs="Arial" w:ascii="Arial" w:hAnsi="Arial"/>
                <w:iCs/>
                <w:sz w:val="22"/>
              </w:rPr>
              <w:t xml:space="preserve"> day following the day on which the invoice is delivered (or, if not a business day, the succeeding business day).</w:t>
            </w:r>
          </w:p>
        </w:tc>
      </w:tr>
    </w:tbl>
    <w:p>
      <w:pPr>
        <w:pStyle w:val="Normal"/>
        <w:tabs>
          <w:tab w:val="clear" w:pos="720"/>
          <w:tab w:val="left" w:pos="10800" w:leader="none"/>
        </w:tabs>
        <w:spacing w:lineRule="exact" w:line="360"/>
        <w:jc w:val="both"/>
        <w:rPr>
          <w:iCs/>
        </w:rPr>
      </w:pPr>
      <w:r>
        <w:rPr>
          <w:iCs/>
        </w:rPr>
      </w:r>
    </w:p>
    <w:p>
      <w:pPr>
        <w:pStyle w:val="Normal"/>
        <w:spacing w:before="0" w:after="120"/>
        <w:jc w:val="both"/>
        <w:rPr>
          <w:rFonts w:ascii="Arial" w:hAnsi="Arial" w:cs="Arial"/>
          <w:sz w:val="22"/>
        </w:rPr>
      </w:pPr>
      <w:r>
        <w:rPr>
          <w:rFonts w:cs="Arial" w:ascii="Arial" w:hAnsi="Arial"/>
          <w:sz w:val="22"/>
        </w:rPr>
        <w:t>This Enfolio Confirmation is being provided pursuant to and in accordance with the MASTER "Enfolio" PURCHASE/SALE AGREEMENT between Customer and Company and constitutes part of and is subject to all of the provisions thereof.  Company does hereby adopt this letterhead, including the address, as its signature in respect of the identification of Company and the authentication by Company of this Spot Confirmation.  Any objection of Customer to this Spot Confirmation must be made by written notice to Company on or before the Confirm Deadline.</w:t>
      </w:r>
    </w:p>
    <w:p>
      <w:pPr>
        <w:pStyle w:val="Normal"/>
        <w:spacing w:before="0" w:after="120"/>
        <w:jc w:val="both"/>
        <w:rPr/>
      </w:pPr>
      <w:r>
        <w:rPr>
          <w:rFonts w:cs="Arial" w:ascii="Arial" w:hAnsi="Arial"/>
          <w:sz w:val="22"/>
        </w:rPr>
        <w:t>Each Party shall not disclose the terms of this Transaction to a third party (other than the Party's and its affiliates' employees, any prospective affiliates and their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as set forth in the referenced Master Agreement.</w:t>
      </w:r>
    </w:p>
    <w:p>
      <w:pPr>
        <w:pStyle w:val="Normal"/>
        <w:jc w:val="both"/>
        <w:rPr>
          <w:rFonts w:ascii="Arial" w:hAnsi="Arial" w:cs="Arial"/>
          <w:sz w:val="22"/>
        </w:rPr>
      </w:pPr>
      <w:r>
        <w:rPr>
          <w:rFonts w:cs="Arial" w:ascii="Arial" w:hAnsi="Arial"/>
          <w:sz w:val="22"/>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SITHE/INDEPENDENCE POWER PARTNERS, L.P.</w:t>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ENRON NORTH AMERICA CORP.</w:t>
            </w:r>
          </w:p>
        </w:tc>
      </w:tr>
      <w:tr>
        <w:trPr/>
        <w:tc>
          <w:tcPr>
            <w:tcW w:w="5508" w:type="dxa"/>
            <w:tcBorders/>
          </w:tcPr>
          <w:p>
            <w:pPr>
              <w:pStyle w:val="Normal"/>
              <w:tabs>
                <w:tab w:val="clear" w:pos="720"/>
                <w:tab w:val="left" w:pos="5040" w:leader="none"/>
              </w:tabs>
              <w:snapToGrid w:val="false"/>
              <w:rPr>
                <w:rFonts w:ascii="Arial" w:hAnsi="Arial" w:cs="Arial"/>
                <w:sz w:val="22"/>
              </w:rPr>
            </w:pPr>
            <w:r>
              <w:rPr>
                <w:rFonts w:cs="Arial" w:ascii="Arial" w:hAnsi="Arial"/>
                <w:sz w:val="22"/>
              </w:rPr>
            </w:r>
          </w:p>
        </w:tc>
        <w:tc>
          <w:tcPr>
            <w:tcW w:w="5508" w:type="dxa"/>
            <w:tcBorders/>
          </w:tcPr>
          <w:p>
            <w:pPr>
              <w:pStyle w:val="Normal"/>
              <w:tabs>
                <w:tab w:val="clear" w:pos="720"/>
                <w:tab w:val="left" w:pos="5022" w:leader="none"/>
              </w:tabs>
              <w:snapToGrid w:val="false"/>
              <w:rPr>
                <w:rFonts w:ascii="Arial" w:hAnsi="Arial" w:cs="Arial"/>
                <w:sz w:val="22"/>
              </w:rPr>
            </w:pPr>
            <w:r>
              <w:rPr>
                <w:rFonts w:cs="Arial" w:ascii="Arial" w:hAnsi="Arial"/>
                <w:sz w:val="22"/>
              </w:rPr>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By: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By: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Name: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Name: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Title: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Title: </w:t>
            </w:r>
            <w:r>
              <w:rPr>
                <w:rFonts w:cs="Arial" w:ascii="Arial" w:hAnsi="Arial"/>
                <w:sz w:val="22"/>
                <w:u w:val="single"/>
              </w:rPr>
              <w:tab/>
            </w:r>
          </w:p>
        </w:tc>
      </w:tr>
      <w:tr>
        <w:trPr/>
        <w:tc>
          <w:tcPr>
            <w:tcW w:w="5508" w:type="dxa"/>
            <w:tcBorders/>
          </w:tcPr>
          <w:p>
            <w:pPr>
              <w:pStyle w:val="Normal"/>
              <w:tabs>
                <w:tab w:val="clear" w:pos="720"/>
                <w:tab w:val="left" w:pos="5040" w:leader="none"/>
              </w:tabs>
              <w:rPr>
                <w:rFonts w:ascii="Arial" w:hAnsi="Arial" w:cs="Arial"/>
                <w:sz w:val="22"/>
              </w:rPr>
            </w:pPr>
            <w:r>
              <w:rPr>
                <w:rFonts w:cs="Arial" w:ascii="Arial" w:hAnsi="Arial"/>
                <w:sz w:val="22"/>
              </w:rPr>
              <w:t xml:space="preserve">Date: </w:t>
            </w:r>
            <w:r>
              <w:rPr>
                <w:rFonts w:cs="Arial" w:ascii="Arial" w:hAnsi="Arial"/>
                <w:sz w:val="22"/>
                <w:u w:val="single"/>
              </w:rPr>
              <w:tab/>
            </w:r>
          </w:p>
        </w:tc>
        <w:tc>
          <w:tcPr>
            <w:tcW w:w="5508" w:type="dxa"/>
            <w:tcBorders/>
          </w:tcPr>
          <w:p>
            <w:pPr>
              <w:pStyle w:val="Normal"/>
              <w:tabs>
                <w:tab w:val="clear" w:pos="720"/>
                <w:tab w:val="left" w:pos="5022" w:leader="none"/>
              </w:tabs>
              <w:rPr>
                <w:rFonts w:ascii="Arial" w:hAnsi="Arial" w:cs="Arial"/>
                <w:sz w:val="22"/>
              </w:rPr>
            </w:pPr>
            <w:r>
              <w:rPr>
                <w:rFonts w:cs="Arial" w:ascii="Arial" w:hAnsi="Arial"/>
                <w:sz w:val="22"/>
              </w:rPr>
              <w:t xml:space="preserve">Date: </w:t>
            </w:r>
            <w:r>
              <w:rPr>
                <w:rFonts w:cs="Arial" w:ascii="Arial" w:hAnsi="Arial"/>
                <w:sz w:val="22"/>
                <w:u w:val="single"/>
              </w:rPr>
              <w:tab/>
            </w:r>
          </w:p>
        </w:tc>
      </w:tr>
    </w:tbl>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720" w:right="720" w:gutter="0" w:header="720" w:top="1008"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/mnt/main-storage/datasets/enron-docs/doc/Sithe_Gas_Resales_Letter_Oct_092100.doc</w:t>
    </w:r>
    <w:r>
      <w:rPr>
        <w:sz w:val="14"/>
        <w:rFonts w:cs="Arial" w:ascii="Arial" w:hAnsi="Arial"/>
      </w:rPr>
      <w:fldChar w:fldCharType="end"/>
    </w:r>
  </w:p>
  <w:p>
    <w:pPr>
      <w:pStyle w:val="Normal"/>
      <w:tabs>
        <w:tab w:val="clear" w:pos="720"/>
        <w:tab w:val="left" w:pos="4320" w:leader="none"/>
        <w:tab w:val="left" w:pos="8280" w:leader="none"/>
      </w:tabs>
      <w:jc w:val="both"/>
      <w:rPr>
        <w:rFonts w:ascii="Arial" w:hAnsi="Arial" w:cs="Arial"/>
        <w:sz w:val="14"/>
      </w:rPr>
    </w:pPr>
    <w:r>
      <w:rPr>
        <w:rFonts w:cs="Arial" w:ascii="Arial" w:hAnsi="Arial"/>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4"/>
      </w:rPr>
    </w:pPr>
    <w:r>
      <w:rPr>
        <w:rFonts w:cs="Arial" w:ascii="Arial" w:hAnsi="Arial"/>
        <w:sz w:val="14"/>
      </w:rPr>
    </w:r>
  </w:p>
  <w:p>
    <w:pPr>
      <w:pStyle w:val="Footer"/>
      <w:rPr>
        <w:rFonts w:ascii="Arial" w:hAnsi="Arial" w:cs="Arial"/>
        <w:sz w:val="14"/>
      </w:rPr>
    </w:pPr>
    <w:r>
      <w:rPr>
        <w:rFonts w:cs="Arial" w:ascii="Arial" w:hAnsi="Arial"/>
        <w:sz w:val="14"/>
      </w:rPr>
      <w:fldChar w:fldCharType="begin"/>
    </w:r>
    <w:r>
      <w:rPr>
        <w:sz w:val="14"/>
        <w:rFonts w:cs="Arial" w:ascii="Arial" w:hAnsi="Arial"/>
      </w:rPr>
      <w:instrText xml:space="preserve"> FILENAME \p </w:instrText>
    </w:r>
    <w:r>
      <w:rPr>
        <w:sz w:val="14"/>
        <w:rFonts w:cs="Arial" w:ascii="Arial" w:hAnsi="Arial"/>
      </w:rPr>
      <w:fldChar w:fldCharType="separate"/>
    </w:r>
    <w:r>
      <w:rPr>
        <w:sz w:val="14"/>
        <w:rFonts w:cs="Arial" w:ascii="Arial" w:hAnsi="Arial"/>
      </w:rPr>
      <w:t>/mnt/main-storage/datasets/enron-docs/doc/Sithe_Gas_Resales_Letter_Oct_092100.doc</w:t>
    </w:r>
    <w:r>
      <w:rPr>
        <w:sz w:val="14"/>
        <w:rFonts w:cs="Arial" w:ascii="Arial" w:hAnsi="Arial"/>
      </w:rPr>
      <w:fldChar w:fldCharType="end"/>
    </w:r>
  </w:p>
  <w:p>
    <w:pPr>
      <w:pStyle w:val="Footer"/>
      <w:rPr>
        <w:rFonts w:ascii="Arial" w:hAnsi="Arial" w:cs="Arial"/>
        <w:sz w:val="14"/>
      </w:rPr>
    </w:pPr>
    <w:r>
      <w:rPr>
        <w:rFonts w:cs="Arial" w:ascii="Arial" w:hAnsi="Arial"/>
        <w:sz w:val="1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2"/>
      </w:rPr>
    </w:pPr>
    <w:r>
      <w:rPr>
        <w:rFonts w:cs="Arial" w:ascii="Arial" w:hAnsi="Arial"/>
        <w:sz w:val="22"/>
      </w:rPr>
      <w:t>Sithe/Independence Power Partners, L.P.</w:t>
    </w:r>
  </w:p>
  <w:p>
    <w:pPr>
      <w:pStyle w:val="Header"/>
      <w:rPr>
        <w:rFonts w:ascii="Arial" w:hAnsi="Arial" w:cs="Arial"/>
        <w:sz w:val="22"/>
      </w:rPr>
    </w:pPr>
    <w:r>
      <w:rPr>
        <w:rFonts w:cs="Arial" w:ascii="Arial" w:hAnsi="Arial"/>
        <w:sz w:val="22"/>
      </w:rPr>
      <w:t>September 22, 2000</w:t>
    </w:r>
  </w:p>
  <w:p>
    <w:pPr>
      <w:pStyle w:val="Header"/>
      <w:rPr>
        <w:rStyle w:val="PageNumber"/>
        <w:rFonts w:ascii="Arial" w:hAnsi="Arial" w:cs="Arial"/>
        <w:sz w:val="22"/>
      </w:rPr>
    </w:pPr>
    <w:r>
      <w:rPr>
        <w:rFonts w:cs="Arial" w:ascii="Arial" w:hAnsi="Arial"/>
        <w:sz w:val="22"/>
      </w:rPr>
      <w:t xml:space="preserve">Page </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p>
  <w:p>
    <w:pPr>
      <w:pStyle w:val="Header"/>
      <w:rPr>
        <w:rStyle w:val="PageNumber"/>
        <w:rFonts w:ascii="Arial" w:hAnsi="Arial" w:cs="Arial"/>
        <w:sz w:val="22"/>
      </w:rPr>
    </w:pPr>
    <w:r>
      <w:rPr/>
    </w:r>
  </w:p>
  <w:p>
    <w:pPr>
      <w:pStyle w:val="Header"/>
      <w:rPr>
        <w:rStyle w:val="PageNumber"/>
        <w:rFonts w:ascii="Arial" w:hAnsi="Arial" w:cs="Arial"/>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435"/>
        </w:tabs>
        <w:ind w:start="435" w:hanging="435"/>
      </w:pPr>
      <w:rPr>
        <w:b/>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120"/>
      <w:jc w:val="center"/>
      <w:outlineLvl w:val="0"/>
    </w:pPr>
    <w:rPr>
      <w:rFonts w:ascii="Arial" w:hAnsi="Arial" w:cs="Arial"/>
      <w:b/>
      <w:bCs/>
      <w:sz w:val="22"/>
      <w:szCs w:val="20"/>
    </w:rPr>
  </w:style>
  <w:style w:type="character" w:styleId="WW8Num1z0">
    <w:name w:val="WW8Num1z0"/>
    <w:qFormat/>
    <w:rPr/>
  </w:style>
  <w:style w:type="character" w:styleId="WW8Num2z0">
    <w:name w:val="WW8Num2z0"/>
    <w:qFormat/>
    <w:rPr>
      <w:b/>
    </w:rPr>
  </w:style>
  <w:style w:type="character" w:styleId="WW8Num3z0">
    <w:name w:val="WW8Num3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2000-09-22T12:17:00Z</dcterms:created>
  <dc:creator>dhyvl</dc:creator>
  <dc:description/>
  <dc:language>en-CA</dc:language>
  <cp:lastModifiedBy>dhyvl</cp:lastModifiedBy>
  <cp:lastPrinted>2000-09-22T10:02:00Z</cp:lastPrinted>
  <dcterms:modified xsi:type="dcterms:W3CDTF">2000-09-22T12:32:00Z</dcterms:modified>
  <cp:revision>4</cp:revision>
  <dc:subject/>
  <dc:title>September 16, 2000</dc:title>
</cp:coreProperties>
</file>