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8.xml" ContentType="application/vnd.openxmlformats-officedocument.wordprocessingml.footer+xml"/>
  <Override PartName="/word/media/image1.png" ContentType="image/png"/>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rPr>
            </w:pPr>
            <w:r>
              <w:rPr>
                <w:b/>
              </w:rPr>
              <w:t>Enron North America Corp.</w:t>
            </w:r>
          </w:p>
          <w:p>
            <w:pPr>
              <w:pStyle w:val="Normal"/>
              <w:tabs>
                <w:tab w:val="clear" w:pos="720"/>
                <w:tab w:val="left" w:pos="2412" w:leader="none"/>
              </w:tabs>
              <w:ind w:start="1962" w:end="0"/>
              <w:jc w:val="end"/>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jc w:val="end"/>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pPr>
      <w:r>
        <w:rPr/>
      </w:r>
    </w:p>
    <w:p>
      <w:pPr>
        <w:pStyle w:val="Normal"/>
        <w:jc w:val="center"/>
        <w:rPr/>
      </w:pPr>
      <w:r>
        <w:rPr/>
      </w:r>
    </w:p>
    <w:p>
      <w:pPr>
        <w:pStyle w:val="Normal"/>
        <w:jc w:val="center"/>
        <w:rPr/>
      </w:pPr>
      <w:r>
        <w:rPr/>
      </w:r>
    </w:p>
    <w:p>
      <w:pPr>
        <w:pStyle w:val="Normal"/>
        <w:rPr/>
      </w:pPr>
      <w:r>
        <w:rPr/>
        <w:t>November 12 1999</w:t>
      </w:r>
    </w:p>
    <w:p>
      <w:pPr>
        <w:pStyle w:val="Normal"/>
        <w:rPr/>
      </w:pPr>
      <w:r>
        <w:rPr/>
      </w:r>
    </w:p>
    <w:p>
      <w:pPr>
        <w:pStyle w:val="Index1"/>
        <w:rPr>
          <w:rFonts w:ascii="Times New Roman" w:hAnsi="Times New Roman" w:cs="Times New Roman"/>
        </w:rPr>
      </w:pPr>
      <w:r>
        <w:rPr>
          <w:rFonts w:cs="Times New Roman" w:ascii="Times New Roman" w:hAnsi="Times New Roman"/>
        </w:rPr>
        <w:t>Societe Industrielle de Transports Automobiles</w:t>
      </w:r>
    </w:p>
    <w:p>
      <w:pPr>
        <w:pStyle w:val="Normal"/>
        <w:rPr/>
      </w:pPr>
      <w:r>
        <w:rPr/>
        <w:t>132 rue des trois fontanots</w:t>
      </w:r>
    </w:p>
    <w:p>
      <w:pPr>
        <w:pStyle w:val="Normal"/>
        <w:rPr/>
      </w:pPr>
      <w:r>
        <w:rPr/>
        <w:t>Nanterre Cedex, France 92758</w:t>
      </w:r>
    </w:p>
    <w:p>
      <w:pPr>
        <w:pStyle w:val="Normal"/>
        <w:rPr/>
      </w:pPr>
      <w:r>
        <w:rPr/>
      </w:r>
    </w:p>
    <w:p>
      <w:pPr>
        <w:pStyle w:val="Normal"/>
        <w:rPr/>
      </w:pPr>
      <w:r>
        <w:rPr/>
        <w:t>Attention: Philippe Dessain</w:t>
      </w:r>
    </w:p>
    <w:p>
      <w:pPr>
        <w:pStyle w:val="Normal"/>
        <w:rPr/>
      </w:pPr>
      <w:r>
        <w:rPr/>
      </w:r>
    </w:p>
    <w:p>
      <w:pPr>
        <w:pStyle w:val="Normal"/>
        <w:rPr/>
      </w:pPr>
      <w:r>
        <w:rPr/>
        <w:t>Fax No.: 33-14-291-6881</w:t>
      </w:r>
    </w:p>
    <w:p>
      <w:pPr>
        <w:pStyle w:val="Normal"/>
        <w:rPr/>
      </w:pPr>
      <w:r>
        <w:rPr/>
        <w:t>Telephone No.: 33-14-291-6737</w:t>
      </w:r>
    </w:p>
    <w:p>
      <w:pPr>
        <w:pStyle w:val="Index1"/>
        <w:rPr>
          <w:rFonts w:ascii="Times New Roman" w:hAnsi="Times New Roman" w:cs="Times New Roman"/>
        </w:rPr>
      </w:pPr>
      <w:r>
        <w:rPr>
          <w:rFonts w:cs="Times New Roman" w:ascii="Times New Roman" w:hAnsi="Times New Roman"/>
        </w:rPr>
      </w:r>
    </w:p>
    <w:p>
      <w:pPr>
        <w:pStyle w:val="Normal"/>
        <w:rPr/>
      </w:pPr>
      <w:r>
        <w:rPr/>
        <w:t>Re:</w:t>
        <w:tab/>
        <w:t>SWAP TRANSACTION ENA Contract No. N44608.1</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Societe Industrielle de Transports Automobiles (“Counterparty”) and Enron North America Corp. (“ENA”) on November 12, 1999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November 12, 1999, between Michael Moulton of ENA and Phillipe Dessain of Counterparty.</w:t>
      </w:r>
    </w:p>
    <w:p>
      <w:pPr>
        <w:pStyle w:val="Normal"/>
        <w:jc w:val="both"/>
        <w:rPr/>
      </w:pPr>
      <w:r>
        <w:rPr/>
      </w:r>
    </w:p>
    <w:p>
      <w:pPr>
        <w:pStyle w:val="BodyText"/>
        <w:rPr>
          <w:color w:val="FF0000"/>
        </w:rPr>
      </w:pPr>
      <w:r>
        <w:rPr>
          <w:color w:val="FF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sz w:val="22"/>
              </w:rPr>
            </w:pPr>
            <w:r>
              <w:rPr>
                <w:sz w:val="22"/>
              </w:rPr>
              <w:t>Total Notional Quantity:</w:t>
            </w:r>
          </w:p>
        </w:tc>
        <w:tc>
          <w:tcPr>
            <w:tcW w:w="4788" w:type="dxa"/>
            <w:tcBorders/>
          </w:tcPr>
          <w:p>
            <w:pPr>
              <w:pStyle w:val="Normal"/>
              <w:jc w:val="both"/>
              <w:rPr>
                <w:sz w:val="22"/>
              </w:rPr>
            </w:pPr>
            <w:r>
              <w:rPr>
                <w:sz w:val="22"/>
              </w:rPr>
              <w:t xml:space="preserve">120,000 Metric Tons </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Notional Quantity</w:t>
            </w:r>
          </w:p>
          <w:p>
            <w:pPr>
              <w:pStyle w:val="Normal"/>
              <w:ind w:firstLine="720" w:end="0"/>
              <w:jc w:val="both"/>
              <w:rPr>
                <w:sz w:val="22"/>
              </w:rPr>
            </w:pPr>
            <w:r>
              <w:rPr>
                <w:sz w:val="22"/>
              </w:rPr>
              <w:t>per Calculation Period:</w:t>
            </w:r>
          </w:p>
        </w:tc>
        <w:tc>
          <w:tcPr>
            <w:tcW w:w="4788" w:type="dxa"/>
            <w:tcBorders/>
          </w:tcPr>
          <w:p>
            <w:pPr>
              <w:pStyle w:val="Normal"/>
              <w:snapToGrid w:val="false"/>
              <w:jc w:val="both"/>
              <w:rPr>
                <w:sz w:val="22"/>
              </w:rPr>
            </w:pPr>
            <w:r>
              <w:rPr>
                <w:sz w:val="22"/>
              </w:rPr>
            </w:r>
          </w:p>
          <w:p>
            <w:pPr>
              <w:pStyle w:val="Normal"/>
              <w:jc w:val="both"/>
              <w:rPr>
                <w:sz w:val="22"/>
              </w:rPr>
            </w:pPr>
            <w:r>
              <w:rPr>
                <w:sz w:val="22"/>
              </w:rPr>
              <w:t>5,000 Metric Tons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Commodity:</w:t>
            </w:r>
          </w:p>
        </w:tc>
        <w:tc>
          <w:tcPr>
            <w:tcW w:w="4788" w:type="dxa"/>
            <w:tcBorders/>
          </w:tcPr>
          <w:p>
            <w:pPr>
              <w:pStyle w:val="Normal"/>
              <w:jc w:val="both"/>
              <w:rPr>
                <w:sz w:val="22"/>
              </w:rPr>
            </w:pPr>
            <w:r>
              <w:rPr>
                <w:sz w:val="22"/>
              </w:rPr>
              <w:t>Mixed Paper (B12)</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Commodity Unit:</w:t>
            </w:r>
          </w:p>
        </w:tc>
        <w:tc>
          <w:tcPr>
            <w:tcW w:w="4788" w:type="dxa"/>
            <w:tcBorders/>
          </w:tcPr>
          <w:p>
            <w:pPr>
              <w:pStyle w:val="Normal"/>
              <w:jc w:val="both"/>
              <w:rPr>
                <w:sz w:val="22"/>
              </w:rPr>
            </w:pPr>
            <w:r>
              <w:rPr>
                <w:sz w:val="22"/>
              </w:rPr>
              <w:t>Metric Tons</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Trade Date:</w:t>
            </w:r>
          </w:p>
        </w:tc>
        <w:tc>
          <w:tcPr>
            <w:tcW w:w="4788" w:type="dxa"/>
            <w:tcBorders/>
          </w:tcPr>
          <w:p>
            <w:pPr>
              <w:pStyle w:val="Normal"/>
              <w:jc w:val="both"/>
              <w:rPr>
                <w:sz w:val="22"/>
              </w:rPr>
            </w:pPr>
            <w:r>
              <w:rPr>
                <w:sz w:val="22"/>
              </w:rPr>
              <w:t>November 12, 1999</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Effective Date:</w:t>
            </w:r>
          </w:p>
        </w:tc>
        <w:tc>
          <w:tcPr>
            <w:tcW w:w="4788" w:type="dxa"/>
            <w:tcBorders/>
          </w:tcPr>
          <w:p>
            <w:pPr>
              <w:pStyle w:val="Normal"/>
              <w:jc w:val="both"/>
              <w:rPr>
                <w:sz w:val="22"/>
              </w:rPr>
            </w:pPr>
            <w:r>
              <w:rPr>
                <w:sz w:val="22"/>
              </w:rPr>
              <w:t>January 1, 2000</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Termination Date:</w:t>
            </w:r>
          </w:p>
        </w:tc>
        <w:tc>
          <w:tcPr>
            <w:tcW w:w="4788" w:type="dxa"/>
            <w:tcBorders/>
          </w:tcPr>
          <w:p>
            <w:pPr>
              <w:pStyle w:val="Normal"/>
              <w:jc w:val="both"/>
              <w:rPr>
                <w:sz w:val="22"/>
              </w:rPr>
            </w:pPr>
            <w:r>
              <w:rPr>
                <w:sz w:val="22"/>
              </w:rPr>
              <w:t>December 31, 2001</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Calculation Period(s):</w:t>
            </w:r>
          </w:p>
        </w:tc>
        <w:tc>
          <w:tcPr>
            <w:tcW w:w="4788" w:type="dxa"/>
            <w:tcBorders/>
          </w:tcPr>
          <w:p>
            <w:pPr>
              <w:pStyle w:val="Normal"/>
              <w:jc w:val="both"/>
              <w:rPr>
                <w:sz w:val="22"/>
              </w:rPr>
            </w:pPr>
            <w:r>
              <w:rPr>
                <w:color w:val="000000"/>
                <w:sz w:val="22"/>
              </w:rPr>
              <w:t>Monthly periods, with the first Calculation Period commencing on January 1, 2000 and the final Calculation Period ending on December 31, 2001</w:t>
            </w:r>
          </w:p>
        </w:tc>
      </w:tr>
      <w:tr>
        <w:trPr/>
        <w:tc>
          <w:tcPr>
            <w:tcW w:w="4788" w:type="dxa"/>
            <w:tcBorders/>
          </w:tcPr>
          <w:p>
            <w:pPr>
              <w:pStyle w:val="Normal"/>
              <w:snapToGrid w:val="false"/>
              <w:ind w:firstLine="720" w:end="0"/>
              <w:rPr>
                <w:sz w:val="22"/>
              </w:rPr>
            </w:pPr>
            <w:r>
              <w:rPr>
                <w:sz w:val="22"/>
              </w:rPr>
            </w:r>
          </w:p>
        </w:tc>
        <w:tc>
          <w:tcPr>
            <w:tcW w:w="4788" w:type="dxa"/>
            <w:tcBorders/>
          </w:tcPr>
          <w:p>
            <w:pPr>
              <w:pStyle w:val="Normal"/>
              <w:snapToGrid w:val="false"/>
              <w:rPr>
                <w:sz w:val="22"/>
              </w:rPr>
            </w:pPr>
            <w:r>
              <w:rPr>
                <w:sz w:val="22"/>
              </w:rPr>
            </w:r>
          </w:p>
        </w:tc>
      </w:tr>
      <w:tr>
        <w:trPr/>
        <w:tc>
          <w:tcPr>
            <w:tcW w:w="4788" w:type="dxa"/>
            <w:tcBorders/>
          </w:tcPr>
          <w:p>
            <w:pPr>
              <w:pStyle w:val="Normal"/>
              <w:ind w:firstLine="720" w:end="0"/>
              <w:jc w:val="both"/>
              <w:rPr>
                <w:sz w:val="22"/>
              </w:rPr>
            </w:pPr>
            <w:r>
              <w:rPr>
                <w:sz w:val="22"/>
              </w:rPr>
              <w:t>Payment Date(s):</w:t>
            </w:r>
          </w:p>
        </w:tc>
        <w:tc>
          <w:tcPr>
            <w:tcW w:w="4788" w:type="dxa"/>
            <w:tcBorders/>
          </w:tcPr>
          <w:p>
            <w:pPr>
              <w:pStyle w:val="Norma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snapToGrid w:val="false"/>
              <w:ind w:start="-9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start="-90" w:end="0"/>
              <w:jc w:val="both"/>
              <w:rPr>
                <w:sz w:val="22"/>
              </w:rPr>
            </w:pPr>
            <w:r>
              <w:rPr>
                <w:b/>
                <w:sz w:val="22"/>
                <w:u w:val="single"/>
              </w:rPr>
              <w:t>Fixed Amount Details:</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Fixed Price Payer:</w:t>
            </w:r>
          </w:p>
        </w:tc>
        <w:tc>
          <w:tcPr>
            <w:tcW w:w="4788" w:type="dxa"/>
            <w:tcBorders/>
          </w:tcPr>
          <w:p>
            <w:pPr>
              <w:pStyle w:val="Normal"/>
              <w:jc w:val="both"/>
              <w:rPr>
                <w:sz w:val="22"/>
              </w:rPr>
            </w:pPr>
            <w:r>
              <w:rPr>
                <w:sz w:val="22"/>
              </w:rPr>
              <w:t>ENA</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Fixed Price:</w:t>
            </w:r>
          </w:p>
        </w:tc>
        <w:tc>
          <w:tcPr>
            <w:tcW w:w="4788" w:type="dxa"/>
            <w:tcBorders/>
          </w:tcPr>
          <w:p>
            <w:pPr>
              <w:pStyle w:val="Normal"/>
              <w:jc w:val="both"/>
              <w:rPr>
                <w:sz w:val="22"/>
              </w:rPr>
            </w:pPr>
            <w:r>
              <w:rPr>
                <w:sz w:val="22"/>
              </w:rPr>
              <w:t>DEM 40.00 per Metric Ton</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b/>
                <w:sz w:val="22"/>
                <w:u w:val="single"/>
              </w:rPr>
              <w:t>Floating Amount Details:</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Floating Price Payer</w:t>
            </w:r>
          </w:p>
        </w:tc>
        <w:tc>
          <w:tcPr>
            <w:tcW w:w="4788" w:type="dxa"/>
            <w:tcBorders/>
          </w:tcPr>
          <w:p>
            <w:pPr>
              <w:pStyle w:val="Normal"/>
              <w:jc w:val="both"/>
              <w:rPr>
                <w:sz w:val="22"/>
              </w:rPr>
            </w:pPr>
            <w:r>
              <w:rPr>
                <w:sz w:val="22"/>
              </w:rPr>
              <w:t xml:space="preserve">Counterparty </w:t>
            </w:r>
          </w:p>
        </w:tc>
      </w:tr>
      <w:tr>
        <w:trPr/>
        <w:tc>
          <w:tcPr>
            <w:tcW w:w="4788" w:type="dxa"/>
            <w:tcBorders/>
          </w:tcPr>
          <w:p>
            <w:pPr>
              <w:pStyle w:val="Normal"/>
              <w:snapToGrid w:val="false"/>
              <w:ind w:firstLine="720" w:end="0"/>
              <w:rPr>
                <w:sz w:val="22"/>
              </w:rPr>
            </w:pPr>
            <w:r>
              <w:rPr>
                <w:sz w:val="22"/>
              </w:rPr>
            </w:r>
          </w:p>
        </w:tc>
        <w:tc>
          <w:tcPr>
            <w:tcW w:w="4788" w:type="dxa"/>
            <w:tcBorders/>
          </w:tcPr>
          <w:p>
            <w:pPr>
              <w:pStyle w:val="Normal"/>
              <w:snapToGrid w:val="false"/>
              <w:rPr>
                <w:sz w:val="22"/>
              </w:rPr>
            </w:pPr>
            <w:r>
              <w:rPr>
                <w:sz w:val="22"/>
              </w:rPr>
            </w:r>
          </w:p>
        </w:tc>
      </w:tr>
      <w:tr>
        <w:trPr/>
        <w:tc>
          <w:tcPr>
            <w:tcW w:w="4788" w:type="dxa"/>
            <w:tcBorders/>
          </w:tcPr>
          <w:p>
            <w:pPr>
              <w:pStyle w:val="Normal"/>
              <w:ind w:firstLine="720" w:end="0"/>
              <w:jc w:val="both"/>
              <w:rPr>
                <w:sz w:val="22"/>
              </w:rPr>
            </w:pPr>
            <w:r>
              <w:rPr>
                <w:sz w:val="22"/>
              </w:rPr>
              <w:t>Floating Price:</w:t>
            </w:r>
          </w:p>
        </w:tc>
        <w:tc>
          <w:tcPr>
            <w:tcW w:w="4788" w:type="dxa"/>
            <w:tcBorders/>
          </w:tcPr>
          <w:p>
            <w:pPr>
              <w:pStyle w:val="Normal"/>
              <w:spacing w:lineRule="atLeast" w:line="240"/>
              <w:ind w:start="72" w:end="90"/>
              <w:jc w:val="both"/>
              <w:rPr>
                <w:color w:val="000000"/>
                <w:sz w:val="22"/>
                <w:lang w:eastAsia="en-US"/>
              </w:rPr>
            </w:pPr>
            <w:r>
              <w:rPr>
                <w:color w:val="000000"/>
                <w:sz w:val="22"/>
                <w:lang w:eastAsia="en-US"/>
              </w:rPr>
              <w:t xml:space="preserve">The Floating Price for each Calculation Period shall equal the product of (a) the low price per 100kg of Mixed Paper (B12), stated in DEM, published under the headings “EUWID Price Watch – Germany: Waste Paper / 100 kg free delivered: Mixed papers (B12)” </w:t>
            </w:r>
            <w:r>
              <w:rPr>
                <w:sz w:val="22"/>
              </w:rPr>
              <w:t xml:space="preserve">in the issue of </w:t>
            </w:r>
            <w:r>
              <w:rPr>
                <w:sz w:val="22"/>
                <w:u w:val="single"/>
              </w:rPr>
              <w:t>EUWID</w:t>
            </w:r>
            <w:r>
              <w:rPr>
                <w:sz w:val="22"/>
              </w:rPr>
              <w:t xml:space="preserve"> that reports prices effective on the Pricing Date for such Calculation Period and (b) ten (10).</w:t>
            </w:r>
          </w:p>
        </w:tc>
      </w:tr>
      <w:tr>
        <w:trPr/>
        <w:tc>
          <w:tcPr>
            <w:tcW w:w="4788" w:type="dxa"/>
            <w:tcBorders/>
          </w:tcPr>
          <w:p>
            <w:pPr>
              <w:pStyle w:val="Normal"/>
              <w:snapToGrid w:val="false"/>
              <w:ind w:firstLine="720" w:end="0"/>
              <w:jc w:val="both"/>
              <w:rPr>
                <w:color w:val="000000"/>
                <w:sz w:val="22"/>
                <w:lang w:eastAsia="en-US"/>
              </w:rPr>
            </w:pPr>
            <w:r>
              <w:rPr>
                <w:color w:val="000000"/>
                <w:sz w:val="22"/>
                <w:lang w:eastAsia="en-US"/>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Pricing Date(s):</w:t>
            </w:r>
          </w:p>
        </w:tc>
        <w:tc>
          <w:tcPr>
            <w:tcW w:w="4788" w:type="dxa"/>
            <w:tcBorders/>
          </w:tcPr>
          <w:p>
            <w:pPr>
              <w:pStyle w:val="Normal"/>
              <w:jc w:val="both"/>
              <w:rPr/>
            </w:pPr>
            <w:r>
              <w:rPr>
                <w:sz w:val="22"/>
              </w:rPr>
              <w:t xml:space="preserve">Date of publication of EUWID, or any successor publication, published by </w:t>
            </w:r>
            <w:r>
              <w:rPr>
                <w:color w:val="000000"/>
              </w:rPr>
              <w:t>EUWID Europäischer Wirtschaftsdienst GmbH</w:t>
            </w:r>
            <w:r>
              <w:rPr>
                <w:sz w:val="22"/>
              </w:rPr>
              <w:t xml:space="preserve"> or its successor (such publication, “</w:t>
            </w:r>
            <w:r>
              <w:rPr>
                <w:sz w:val="22"/>
                <w:u w:val="single"/>
              </w:rPr>
              <w:t>EUWID</w:t>
            </w:r>
            <w:r>
              <w:rPr>
                <w:sz w:val="22"/>
              </w:rPr>
              <w:t xml:space="preserve">”) for the applicable Calculation Period </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ind w:firstLine="720" w:end="0"/>
              <w:jc w:val="both"/>
              <w:rPr>
                <w:sz w:val="22"/>
              </w:rPr>
            </w:pPr>
            <w:r>
              <w:rPr>
                <w:sz w:val="22"/>
              </w:rPr>
              <w:t>Fallback Reference Price:</w:t>
            </w:r>
          </w:p>
        </w:tc>
        <w:tc>
          <w:tcPr>
            <w:tcW w:w="4788" w:type="dxa"/>
            <w:tcBorders/>
          </w:tcPr>
          <w:p>
            <w:pPr>
              <w:pStyle w:val="Normal"/>
              <w:jc w:val="both"/>
              <w:rPr>
                <w:sz w:val="22"/>
              </w:rPr>
            </w:pPr>
            <w:r>
              <w:rPr>
                <w:sz w:val="22"/>
              </w:rPr>
              <w:t>None</w:t>
            </w:r>
          </w:p>
        </w:tc>
      </w:tr>
    </w:tbl>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w:t>
      </w:r>
      <w:r>
        <w:rPr>
          <w:color w:val="FF0000"/>
        </w:rPr>
        <w:t>(i)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w:t>
      </w:r>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w:t>
      </w:r>
      <w:r>
        <w:rPr>
          <w:color w:val="000000"/>
        </w:rPr>
        <w:t>and</w:t>
      </w:r>
      <w:r>
        <w:rPr/>
        <w:t xml:space="preserve">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 In addition, the “Automatic Early Termination” provision of Section 6(a) of the ISDA Agreement will not apply to ENA or Counterparty.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w:t>
      </w:r>
      <w:r>
        <w:rPr>
          <w:color w:val="FF0000"/>
        </w:rPr>
        <w:t>New York</w:t>
      </w:r>
      <w:r>
        <w:rPr/>
        <w:t xml:space="preserve">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w:t>
      </w:r>
      <w:r>
        <w:rPr>
          <w:color w:val="FF0000"/>
        </w:rPr>
        <w:t xml:space="preserve"> York City, New York</w:t>
      </w:r>
      <w:r>
        <w:rPr/>
        <w:t>,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color w:val="FF0000"/>
        </w:rPr>
        <w:t>12.</w:t>
        <w:tab/>
      </w:r>
      <w:r>
        <w:rPr>
          <w:b/>
          <w:color w:val="FF0000"/>
          <w:u w:val="single"/>
        </w:rPr>
        <w:t>Miscellaneous</w:t>
      </w:r>
      <w:r>
        <w:rPr>
          <w:b/>
          <w:color w:val="FF0000"/>
        </w:rPr>
        <w:t>.</w:t>
      </w:r>
    </w:p>
    <w:p>
      <w:pPr>
        <w:pStyle w:val="Normal"/>
        <w:jc w:val="both"/>
        <w:rPr>
          <w:b/>
          <w:color w:val="FF0000"/>
          <w:u w:val="single"/>
        </w:rPr>
      </w:pPr>
      <w:r>
        <w:rPr>
          <w:b/>
          <w:color w:val="FF0000"/>
          <w:u w:val="single"/>
        </w:rPr>
      </w:r>
    </w:p>
    <w:p>
      <w:pPr>
        <w:pStyle w:val="Normal"/>
        <w:rPr/>
      </w:pPr>
      <w:r>
        <w:rPr>
          <w:color w:val="FF0000"/>
        </w:rPr>
        <w:t>a)</w:t>
      </w:r>
      <w:r>
        <w:rPr>
          <w:b/>
          <w:color w:val="FF0000"/>
        </w:rPr>
        <w:t xml:space="preserve"> </w:t>
      </w:r>
      <w:r>
        <w:rPr>
          <w:b/>
          <w:color w:val="FF0000"/>
          <w:u w:val="single"/>
        </w:rPr>
        <w:t>Legal Opinion.</w:t>
      </w:r>
      <w:r>
        <w:rPr>
          <w:color w:val="FF000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color w:val="FF0000"/>
        </w:rPr>
        <w:t>b)</w:t>
      </w:r>
      <w:r>
        <w:rPr>
          <w:b/>
          <w:color w:val="FF0000"/>
        </w:rPr>
        <w:t xml:space="preserve"> </w:t>
      </w:r>
      <w:r>
        <w:rPr>
          <w:b/>
          <w:color w:val="FF0000"/>
          <w:u w:val="single"/>
        </w:rPr>
        <w:t>Authorization.</w:t>
      </w:r>
      <w:r>
        <w:rPr>
          <w:color w:val="FF000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Normal"/>
        <w:rPr/>
      </w:pPr>
      <w:r>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pPr>
      <w:r>
        <w:rPr/>
        <w:t>SOCIETE INDUSTRIELLE DE TRANSPORTS AUTOMOBILES</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395" w:bottom="108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keepLines/>
        <w:spacing w:lineRule="exact" w:line="240"/>
        <w:jc w:val="center"/>
        <w:rPr>
          <w:b/>
        </w:rPr>
      </w:pPr>
      <w:r>
        <w:rPr>
          <w:b/>
        </w:rPr>
      </w:r>
    </w:p>
    <w:p>
      <w:pPr>
        <w:pStyle w:val="Normal"/>
        <w:keepNext w:val="true"/>
        <w:keepLines/>
        <w:spacing w:lineRule="exact" w:line="240"/>
        <w:jc w:val="center"/>
        <w:rPr>
          <w:b/>
        </w:rPr>
      </w:pPr>
      <w:r>
        <w:rPr>
          <w:b/>
        </w:rPr>
        <w:t>U.S. WITHHOLDING TAX</w:t>
      </w:r>
    </w:p>
    <w:p>
      <w:pPr>
        <w:pStyle w:val="Normal"/>
        <w:keepNext w:val="true"/>
        <w:keepLines/>
        <w:spacing w:lineRule="exact" w:line="240"/>
        <w:jc w:val="center"/>
        <w:rPr>
          <w:b/>
        </w:rPr>
      </w:pPr>
      <w:r>
        <w:rPr>
          <w:b/>
        </w:rPr>
      </w:r>
    </w:p>
    <w:p>
      <w:pPr>
        <w:pStyle w:val="Normal"/>
        <w:spacing w:lineRule="exact" w:line="240"/>
        <w:jc w:val="center"/>
        <w:rPr>
          <w:b/>
        </w:rPr>
      </w:pPr>
      <w:r>
        <w:rPr>
          <w:b/>
        </w:rPr>
        <w:t>Party A:  Enron North America Corp.</w:t>
      </w:r>
    </w:p>
    <w:p>
      <w:pPr>
        <w:pStyle w:val="Normal"/>
        <w:spacing w:lineRule="exact" w:line="240"/>
        <w:jc w:val="center"/>
        <w:rPr>
          <w:b/>
          <w:color w:val="FF0000"/>
        </w:rPr>
      </w:pPr>
      <w:r>
        <w:rPr>
          <w:b/>
        </w:rPr>
        <w:t>Party B:  Societe Industrielle de Transports Automobiles</w:t>
      </w:r>
    </w:p>
    <w:p>
      <w:pPr>
        <w:pStyle w:val="Normal"/>
        <w:spacing w:lineRule="exact" w:line="240"/>
        <w:jc w:val="both"/>
        <w:rPr>
          <w:b/>
          <w:color w:val="FF0000"/>
        </w:rPr>
      </w:pPr>
      <w:r>
        <w:rPr>
          <w:b/>
          <w:color w:val="FF0000"/>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France.</w:t>
      </w:r>
    </w:p>
    <w:p>
      <w:pPr>
        <w:pStyle w:val="Normal"/>
        <w:spacing w:lineRule="exact" w:line="240" w:before="240" w:after="0"/>
        <w:jc w:val="both"/>
        <w:rPr/>
      </w:pPr>
      <w:r>
        <w:rPr/>
        <w:t>"</w:t>
      </w:r>
      <w:r>
        <w:rPr>
          <w:b/>
        </w:rPr>
        <w:t>Specified Jurisdiction</w:t>
      </w:r>
      <w:r>
        <w:rPr/>
        <w:t>" means, with respect to Party A, France.</w:t>
      </w:r>
    </w:p>
    <w:p>
      <w:pPr>
        <w:pStyle w:val="Normal"/>
        <w:spacing w:lineRule="exact" w:line="240" w:before="240" w:after="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jc w:val="both"/>
        <w:rPr/>
      </w:pPr>
      <w:r>
        <w:rPr/>
        <w:t>For the purpose of Section 4(a), the Tax forms, documents, or certificates to be delivered are:</w:t>
      </w:r>
    </w:p>
    <w:p>
      <w:pPr>
        <w:pStyle w:val="Normal"/>
        <w:spacing w:lineRule="exact" w:line="240" w:before="240" w:after="0"/>
        <w:ind w:hanging="720" w:start="720" w:end="0"/>
        <w:jc w:val="both"/>
        <w:rPr/>
      </w:pPr>
      <w:r>
        <w:rPr/>
        <w:tab/>
        <w:t>Party B agrees to complete (accurately and in a manner reasonably satisfactory to Party A), execute, and deliver to Party A a United States Internal Revenue Service Form 1001, or any successor form,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11"/>
          <w:headerReference w:type="first" r:id="rId12"/>
          <w:footerReference w:type="default" r:id="rId13"/>
          <w:footerReference w:type="first" r:id="rId14"/>
          <w:type w:val="nextPage"/>
          <w:pgSz w:w="12240" w:h="15840"/>
          <w:pgMar w:left="1008" w:right="1008" w:gutter="0" w:header="720" w:top="1008" w:footer="432" w:bottom="1008"/>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the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Heading6"/>
        <w:ind w:hanging="0" w:start="0"/>
        <w:rPr>
          <w:b w:val="false"/>
          <w:color w:val="FF0000"/>
        </w:rPr>
      </w:pPr>
      <w:r>
        <w:rPr/>
        <w:t>SOCIETE INDUSTRIELLE DE TRANSPORTS AUTOMOBILES</w:t>
      </w:r>
    </w:p>
    <w:p>
      <w:pPr>
        <w:pStyle w:val="Normal"/>
        <w:jc w:val="center"/>
        <w:rPr>
          <w:b/>
          <w:color w:val="FF0000"/>
        </w:rPr>
      </w:pPr>
      <w:r>
        <w:rPr>
          <w:b/>
          <w:color w:val="FF0000"/>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720" w:end="0"/>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 accordance with the terms and provisions of Annex B-1 and the failure continues for two (2) Business Days after notice from the other party; or</w:t>
      </w:r>
    </w:p>
    <w:p>
      <w:pPr>
        <w:pStyle w:val="Normal"/>
        <w:ind w:hanging="72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t>(x)</w:t>
        <w:tab/>
        <w:t>if a Guaranty  is required to support such party's obligations under the Confirmation, the Guaranty shall expire or be terminated or the Credit Support Provider thereunder shall fail to comply with or perform under the Guaranty.”</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ENA’s Credit Support Provider.  Specified Indebtedness will have the meaning specified in Section 14 of the ISDA Agreement.  Threshold Amount means:  with respect to ENA, U.S. $50,000,000 (or its equivalent in another currency); with respect to ENA's Credit Support Provider, U.S. $50,000,000 (or its equivalent in another currency)</w:t>
      </w:r>
      <w:r>
        <w:rPr>
          <w:color w:val="000000"/>
        </w:rPr>
        <w:t xml:space="preserve">; </w:t>
      </w:r>
      <w:r>
        <w:rPr/>
        <w:t>and with respect to Party B, FRF 150,000,000 (or its equivalent in another currency)</w:t>
      </w:r>
      <w:r>
        <w:rPr>
          <w:color w:val="FF0000"/>
        </w:rPr>
        <w:t xml:space="preserve">; </w:t>
      </w:r>
      <w:r>
        <w:rPr>
          <w:color w:val="FF0000"/>
          <w:u w:val="single"/>
        </w:rPr>
        <w:t>provided</w:t>
      </w:r>
      <w:r>
        <w:rPr>
          <w:color w:val="FF0000"/>
        </w:rPr>
        <w:t xml:space="preserve">, </w:t>
      </w:r>
      <w:r>
        <w:rPr>
          <w:color w:val="FF0000"/>
          <w:u w:val="single"/>
        </w:rPr>
        <w:t>that</w:t>
      </w:r>
      <w:r>
        <w:rPr>
          <w:color w:val="FF000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ind w:start="360" w:end="144"/>
        <w:jc w:val="both"/>
        <w:rPr/>
      </w:pPr>
      <w:r>
        <w:rPr/>
      </w:r>
    </w:p>
    <w:p>
      <w:pPr>
        <w:pStyle w:val="Normal"/>
        <w:ind w:start="360" w:end="0"/>
        <w:jc w:val="both"/>
        <w:rPr>
          <w:b/>
        </w:rPr>
      </w:pPr>
      <w:r>
        <w:rPr/>
        <w:t>"</w:t>
      </w:r>
      <w:r>
        <w:rPr>
          <w:i/>
          <w:u w:val="single"/>
        </w:rPr>
        <w:t>Credit Rating</w:t>
      </w:r>
      <w:r>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144"/>
        <w:jc w:val="both"/>
        <w:rPr>
          <w:b/>
        </w:rPr>
      </w:pPr>
      <w:r>
        <w:rPr>
          <w:b/>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rPr>
        <w:t>"</w:t>
      </w:r>
      <w:r>
        <w:rPr>
          <w:i/>
          <w:u w:val="single"/>
        </w:rPr>
        <w:t>Credit Support Provider</w:t>
      </w:r>
      <w:r>
        <w:rPr>
          <w:i/>
        </w:rPr>
        <w:t>"</w:t>
      </w:r>
      <w:r>
        <w:rPr/>
        <w:t xml:space="preserve"> means, with respect to ENA only, Enron Corp.</w:t>
      </w:r>
    </w:p>
    <w:p>
      <w:pPr>
        <w:pStyle w:val="Normal"/>
        <w:ind w:start="360" w:end="144"/>
        <w:jc w:val="both"/>
        <w:rPr/>
      </w:pPr>
      <w:r>
        <w:rPr/>
      </w:r>
    </w:p>
    <w:p>
      <w:pPr>
        <w:pStyle w:val="Normal"/>
        <w:ind w:start="360" w:end="144"/>
        <w:jc w:val="both"/>
        <w:rPr/>
      </w:pPr>
      <w:r>
        <w:rPr/>
        <w:t>"</w:t>
      </w:r>
      <w:r>
        <w:rPr>
          <w:i/>
          <w:u w:val="single"/>
        </w:rPr>
        <w:t>Funded Debt</w:t>
      </w:r>
      <w:r>
        <w:rPr/>
        <w:t>" means consolidated indebtedness of Counterparty which by its terms matures more than one year from the date as of which any calculation of Funded Debt is made.</w:t>
      </w:r>
    </w:p>
    <w:p>
      <w:pPr>
        <w:pStyle w:val="Normal"/>
        <w:jc w:val="both"/>
        <w:rPr/>
      </w:pPr>
      <w:r>
        <w:rPr/>
      </w:r>
    </w:p>
    <w:p>
      <w:pPr>
        <w:pStyle w:val="Normal"/>
        <w:ind w:start="360" w:end="0"/>
        <w:jc w:val="both"/>
        <w:rPr/>
      </w:pPr>
      <w:r>
        <w:rPr/>
        <w:t>"</w:t>
      </w:r>
      <w:r>
        <w:rPr>
          <w:i/>
          <w:u w:val="single"/>
        </w:rPr>
        <w:t>GAAP</w:t>
      </w:r>
      <w:r>
        <w:rPr/>
        <w:t>" means generally accepted accounting principles that are generally accepted in the country in which the applicable party is organized and on a basis consistent with prior periods.</w:t>
      </w:r>
    </w:p>
    <w:p>
      <w:pPr>
        <w:pStyle w:val="Normal"/>
        <w:ind w:start="360" w:end="144"/>
        <w:jc w:val="both"/>
        <w:rPr/>
      </w:pPr>
      <w:r>
        <w:rPr/>
      </w:r>
    </w:p>
    <w:p>
      <w:pPr>
        <w:pStyle w:val="Normal"/>
        <w:spacing w:lineRule="atLeast" w:line="240"/>
        <w:ind w:start="360" w:end="0"/>
        <w:jc w:val="both"/>
        <w:rPr/>
      </w:pPr>
      <w:r>
        <w:rPr>
          <w:i/>
        </w:rPr>
        <w:t>"</w:t>
      </w:r>
      <w:r>
        <w:rPr>
          <w:i/>
          <w:u w:val="single"/>
        </w:rPr>
        <w:t>Material Adverse Change</w:t>
      </w:r>
      <w:r>
        <w:rPr>
          <w:i/>
        </w:rPr>
        <w:t>"</w:t>
      </w:r>
      <w:r>
        <w:rPr/>
        <w:t xml:space="preserve"> means (a) with respect to Counterparty, it shall have any of the following occur at any time:  (i) the ratio of its Funded Debt to Net Worth is more than 1.0 to 1.0, or (ii) its Net Worth falls below FRF 1,000,000,000; or (b) with respect to ENA, its Credit Support Provider’s Credit Rating is below “BBB-” by S&amp;P.</w:t>
      </w:r>
    </w:p>
    <w:p>
      <w:pPr>
        <w:pStyle w:val="Normal"/>
        <w:jc w:val="both"/>
        <w:rPr/>
      </w:pPr>
      <w:r>
        <w:rPr/>
      </w:r>
    </w:p>
    <w:p>
      <w:pPr>
        <w:pStyle w:val="Normal"/>
        <w:ind w:start="360" w:end="0"/>
        <w:jc w:val="both"/>
        <w:rPr/>
      </w:pPr>
      <w:r>
        <w:rPr/>
        <w:t>“</w:t>
      </w:r>
      <w:r>
        <w:rPr>
          <w:i/>
          <w:u w:val="single"/>
        </w:rPr>
        <w:t>Moody’s</w:t>
      </w:r>
      <w:r>
        <w:rPr/>
        <w:t>” means Moody’s Investors Service, Inc. or its successor.</w:t>
      </w:r>
    </w:p>
    <w:p>
      <w:pPr>
        <w:pStyle w:val="Normal"/>
        <w:jc w:val="both"/>
        <w:rPr/>
      </w:pPr>
      <w:r>
        <w:rPr/>
      </w:r>
    </w:p>
    <w:p>
      <w:pPr>
        <w:pStyle w:val="Normal"/>
        <w:ind w:start="360" w:end="144"/>
        <w:jc w:val="both"/>
        <w:rPr/>
      </w:pPr>
      <w:r>
        <w:rPr/>
        <w:t>"</w:t>
      </w:r>
      <w:r>
        <w:rPr>
          <w:i/>
          <w:u w:val="single"/>
        </w:rPr>
        <w:t>Net Worth</w:t>
      </w:r>
      <w:r>
        <w:rPr>
          <w:i/>
        </w:rPr>
        <w:t>"</w:t>
      </w:r>
      <w:r>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start="360" w:end="144"/>
        <w:jc w:val="both"/>
        <w:rPr/>
      </w:pPr>
      <w:r>
        <w:rPr/>
      </w:r>
    </w:p>
    <w:p>
      <w:pPr>
        <w:pStyle w:val="Normal"/>
        <w:ind w:start="360" w:end="144"/>
        <w:jc w:val="both"/>
        <w:rPr/>
      </w:pPr>
      <w:r>
        <w:rPr/>
        <w:t>“</w:t>
      </w:r>
      <w:r>
        <w:rPr>
          <w:i/>
          <w:u w:val="single"/>
        </w:rPr>
        <w:t>S&amp;P”</w:t>
      </w:r>
      <w:r>
        <w:rPr/>
        <w:t xml:space="preserve"> means the Standard &amp; Poor’s Rating Group (a division of McGraw-Hill,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 xml:space="preserve">"15.  </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b/>
          <w:u w:val="single"/>
        </w:rPr>
      </w:pPr>
      <w:r>
        <w:rPr>
          <w:b/>
          <w:u w:val="single"/>
        </w:rPr>
      </w:r>
    </w:p>
    <w:p>
      <w:pPr>
        <w:pStyle w:val="Normal"/>
        <w:ind w:start="360" w:end="0"/>
        <w:jc w:val="both"/>
        <w:rPr/>
      </w:pPr>
      <w:r>
        <w:rPr/>
        <w:t xml:space="preserve">"16.  </w:t>
      </w:r>
      <w:r>
        <w:rPr>
          <w:u w:val="single"/>
        </w:rPr>
        <w:t>Credit Support Documents - Guaranty</w:t>
      </w:r>
      <w:r>
        <w:rPr/>
        <w:t>.  Within five (5)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15"/>
          <w:headerReference w:type="first" r:id="rId16"/>
          <w:footerReference w:type="default" r:id="rId17"/>
          <w:footerReference w:type="first" r:id="rId18"/>
          <w:type w:val="nextPage"/>
          <w:pgSz w:w="12240" w:h="15840"/>
          <w:pgMar w:left="864" w:right="72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(iii) such other publicly available financial information as the other party may reasonably request.”</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(the</w:t>
      </w:r>
      <w:r>
        <w:rPr>
          <w:i/>
        </w:rPr>
        <w:t xml:space="preserve"> "</w:t>
      </w:r>
      <w:r>
        <w:rPr>
          <w:i/>
          <w:u w:val="single"/>
        </w:rPr>
        <w:t>Exposed Party"</w:t>
      </w:r>
      <w:r>
        <w:rPr/>
        <w:t xml:space="preserve">) due and owed such amount having Exposure to the other party (the </w:t>
      </w:r>
      <w:r>
        <w:rPr>
          <w:i/>
        </w:rPr>
        <w:t>"</w:t>
      </w:r>
      <w:r>
        <w:rPr>
          <w:i/>
          <w:u w:val="single"/>
        </w:rPr>
        <w:t>Non-Exposed Party"</w:t>
      </w:r>
      <w:r>
        <w:rPr/>
        <w:t>)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U.S. $10,000,000 and (ii) Counterparty, U.S. $5,000,000;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u w:val="single"/>
        </w:rPr>
        <w:t>Potential Event of Default</w:t>
      </w:r>
      <w:r>
        <w:rPr/>
        <w:t>”)) with respect to such party.  The Exposure Threshold assigned to a 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t>"</w:t>
      </w:r>
      <w:r>
        <w:rPr>
          <w:u w:val="single"/>
        </w:rPr>
        <w:t>Transfer</w:t>
      </w:r>
      <w:r>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w:t>
        <w:tab/>
        <w:t xml:space="preserve">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rPr>
          <w:sz w:val="20"/>
        </w:rPr>
      </w:pPr>
      <w:r>
        <w:rPr>
          <w:sz w:val="20"/>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w:t>
        <w:tab/>
        <w:t xml:space="preserve">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the Non-Exposed Party agrees to deliver substitute Performance Assurance to the Exposed Party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pStyle w:val="Normal"/>
        <w:jc w:val="both"/>
        <w:rPr/>
      </w:pPr>
      <w:r>
        <w:rPr/>
        <w:tab/>
        <w:t xml:space="preserve">5.  </w:t>
      </w:r>
      <w:r>
        <w:rPr>
          <w:u w:val="single"/>
        </w:rPr>
        <w:t>Additional Representation</w:t>
      </w:r>
      <w:r>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Exposed Party’s Rights and Remedies</w:t>
      </w:r>
      <w:r>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9"/>
          <w:headerReference w:type="first" r:id="rId20"/>
          <w:footerReference w:type="default" r:id="rId21"/>
          <w:footerReference w:type="first" r:id="rId2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pPr>
      <w:r>
        <w:rPr/>
      </w:r>
    </w:p>
    <w:p>
      <w:pPr>
        <w:pStyle w:val="Normal"/>
        <w:jc w:val="center"/>
        <w:rPr>
          <w:b/>
          <w:u w:val="single"/>
        </w:rPr>
      </w:pPr>
      <w:r>
        <w:rPr>
          <w:b/>
          <w:u w:val="single"/>
        </w:rPr>
        <w:t>SCHEDULE 1</w:t>
      </w:r>
    </w:p>
    <w:p>
      <w:pPr>
        <w:pStyle w:val="Normal"/>
        <w:jc w:val="center"/>
        <w:rPr/>
      </w:pPr>
      <w:r>
        <w:rPr/>
      </w:r>
    </w:p>
    <w:p>
      <w:pPr>
        <w:pStyle w:val="Normal"/>
        <w:jc w:val="center"/>
        <w:rPr/>
      </w:pPr>
      <w:r>
        <w:rPr/>
        <w:t>IRREVOCABLE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u w:val="single"/>
        </w:rPr>
        <w:t>Location</w:t>
      </w:r>
      <w:r>
        <w:rPr/>
        <w:t>) on or before the expiration hereof against presentation to us of the following statement, dated and signed by a representative of the beneficiary:</w:t>
      </w:r>
    </w:p>
    <w:p>
      <w:pPr>
        <w:pStyle w:val="Normal"/>
        <w:jc w:val="both"/>
        <w:rPr/>
      </w:pPr>
      <w:r>
        <w:rPr/>
      </w:r>
    </w:p>
    <w:p>
      <w:pPr>
        <w:pStyle w:val="Normal"/>
        <w:tabs>
          <w:tab w:val="left" w:pos="720" w:leader="none"/>
        </w:tabs>
        <w:ind w:hanging="720" w:start="720" w:end="0"/>
        <w:jc w:val="both"/>
        <w:rPr/>
      </w:pPr>
      <w:r>
        <w:rPr/>
        <w:tab/>
        <w:t>“An Event of Default (as defined in the Confirmation dated as of ______________, 19___,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Normal"/>
        <w:tabs>
          <w:tab w:val="left" w:pos="720" w:leader="none"/>
        </w:tabs>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pPr>
      <w:r>
        <w:rPr/>
      </w:r>
    </w:p>
    <w:p>
      <w:pPr>
        <w:pStyle w:val="Normal"/>
        <w:tabs>
          <w:tab w:val="clear" w:pos="720"/>
          <w:tab w:val="left" w:pos="4320" w:leader="none"/>
          <w:tab w:val="left" w:pos="5040" w:leader="none"/>
          <w:tab w:val="left" w:pos="5760" w:leader="none"/>
        </w:tabs>
        <w:ind w:start="5040" w:end="0"/>
        <w:rPr>
          <w:lang w:val="en-CA"/>
        </w:rPr>
      </w:pPr>
      <w:r>
        <w:rPr/>
        <w:t>[BANK SIGNATURE]</w:t>
      </w:r>
    </w:p>
    <w:p>
      <w:pPr>
        <w:pStyle w:val="Normal"/>
        <w:tabs>
          <w:tab w:val="clear" w:pos="720"/>
          <w:tab w:val="left" w:pos="4320" w:leader="none"/>
          <w:tab w:val="left" w:pos="5040" w:leader="none"/>
          <w:tab w:val="left" w:pos="5760" w:leader="none"/>
        </w:tabs>
        <w:ind w:start="5040" w:end="0"/>
        <w:rPr>
          <w:lang w:val="en-CA"/>
        </w:rPr>
      </w:pPr>
      <w:r>
        <w:rPr>
          <w:lang w:val="en-CA"/>
        </w:rPr>
      </w:r>
    </w:p>
    <w:p>
      <w:pPr>
        <w:pStyle w:val="Normal"/>
        <w:jc w:val="center"/>
        <w:rPr/>
      </w:pPr>
      <w:r>
        <w:rPr/>
      </w:r>
    </w:p>
    <w:p>
      <w:pPr>
        <w:sectPr>
          <w:headerReference w:type="default" r:id="rId23"/>
          <w:headerReference w:type="first" r:id="rId24"/>
          <w:footerReference w:type="default" r:id="rId25"/>
          <w:footerReference w:type="first" r:id="rId26"/>
          <w:type w:val="nextPage"/>
          <w:pgSz w:w="12240" w:h="15840"/>
          <w:pgMar w:left="1728" w:right="1728" w:gutter="0" w:header="720" w:top="1728" w:footer="720" w:bottom="1728"/>
          <w:pgNumType w:fmt="decimal"/>
          <w:formProt w:val="false"/>
          <w:textDirection w:val="lrTb"/>
          <w:docGrid w:type="default" w:linePitch="360" w:charSpace="0"/>
        </w:sectPr>
        <w:pStyle w:val="Header"/>
        <w:rPr>
          <w:sz w:val="20"/>
        </w:rPr>
      </w:pPr>
      <w:r>
        <w:rPr>
          <w:sz w:val="20"/>
        </w:rPr>
      </w:r>
    </w:p>
    <w:p>
      <w:pPr>
        <w:pStyle w:val="Normal"/>
        <w:ind w:end="180"/>
        <w:jc w:val="center"/>
        <w:rPr>
          <w:b/>
        </w:rPr>
      </w:pPr>
      <w:r>
        <w:rPr>
          <w:b/>
          <w:u w:val="single"/>
        </w:rPr>
        <w:t>EXHIBIT A</w:t>
      </w:r>
    </w:p>
    <w:p>
      <w:pPr>
        <w:pStyle w:val="Normal"/>
        <w:ind w:end="180"/>
        <w:jc w:val="center"/>
        <w:rPr>
          <w:b/>
        </w:rPr>
      </w:pPr>
      <w:r>
        <w:rPr>
          <w:b/>
        </w:rPr>
      </w:r>
    </w:p>
    <w:p>
      <w:pPr>
        <w:pStyle w:val="Normal"/>
        <w:ind w:end="180"/>
        <w:jc w:val="center"/>
        <w:rPr>
          <w:b/>
        </w:rPr>
      </w:pPr>
      <w:r>
        <w:rPr>
          <w:b/>
        </w:rPr>
        <w:t>ENRON CORP.</w:t>
      </w:r>
    </w:p>
    <w:p>
      <w:pPr>
        <w:pStyle w:val="Normal"/>
        <w:spacing w:lineRule="exact" w:line="240"/>
        <w:ind w:end="180"/>
        <w:jc w:val="center"/>
        <w:rPr>
          <w:b/>
          <w:u w:val="single"/>
        </w:rPr>
      </w:pPr>
      <w:r>
        <w:rPr>
          <w:b/>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w:t>
      </w:r>
      <w:r>
        <w:rPr>
          <w:u w:val="single"/>
        </w:rPr>
        <w:tab/>
        <w:tab/>
      </w:r>
      <w:r>
        <w:rPr/>
        <w:t xml:space="preserve">, 199__, is made and entered into by </w:t>
      </w:r>
      <w:r>
        <w:rPr>
          <w:caps/>
        </w:rPr>
        <w:t>Enron Corp.</w:t>
      </w:r>
      <w:r>
        <w:rPr/>
        <w:t>, an Oregon corporation (“Guarantor”).</w:t>
      </w:r>
    </w:p>
    <w:p>
      <w:pPr>
        <w:pStyle w:val="Normal"/>
        <w:keepNext w:val="true"/>
        <w:spacing w:lineRule="exact" w:line="240" w:before="480" w:after="0"/>
        <w:jc w:val="center"/>
        <w:rPr>
          <w:b/>
          <w:caps/>
        </w:rPr>
      </w:pPr>
      <w:r>
        <w:rPr>
          <w:b/>
          <w:caps/>
        </w:rPr>
        <w:t>W I T N E S S E T H:</w:t>
      </w:r>
    </w:p>
    <w:p>
      <w:pPr>
        <w:pStyle w:val="Normal"/>
        <w:spacing w:lineRule="atLeast" w:line="240"/>
        <w:jc w:val="both"/>
        <w:rPr>
          <w:b/>
          <w:caps/>
        </w:rPr>
      </w:pPr>
      <w:r>
        <w:rPr>
          <w:b/>
          <w:caps/>
        </w:rPr>
      </w:r>
    </w:p>
    <w:p>
      <w:pPr>
        <w:pStyle w:val="Normal"/>
        <w:spacing w:lineRule="atLeast" w:line="240"/>
        <w:ind w:firstLine="720" w:end="0"/>
        <w:jc w:val="both"/>
        <w:rPr/>
      </w:pPr>
      <w:r>
        <w:rPr/>
        <w:t xml:space="preserve">WHEREAS, SOCIETE INDUSTRIELLE DE TRANSPORTS AUTOMOBILES, a </w:t>
      </w:r>
      <w:r>
        <w:rPr>
          <w:u w:val="single"/>
        </w:rPr>
        <w:tab/>
        <w:tab/>
        <w:tab/>
      </w:r>
      <w:r>
        <w:rPr/>
        <w:t xml:space="preserve"> organized under the laws of France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Enron and Counterparty;</w:t>
      </w:r>
    </w:p>
    <w:p>
      <w:pPr>
        <w:pStyle w:val="Normal"/>
        <w:spacing w:lineRule="atLeast" w:line="240"/>
        <w:ind w:firstLine="720" w:end="0"/>
        <w:jc w:val="both"/>
        <w:rPr/>
      </w:pPr>
      <w:r>
        <w:rPr/>
      </w:r>
    </w:p>
    <w:p>
      <w:pPr>
        <w:pStyle w:val="Normal"/>
        <w:spacing w:lineRule="atLeast" w:line="240"/>
        <w:ind w:firstLine="720" w:end="0"/>
        <w:jc w:val="both"/>
        <w:rPr/>
      </w:pPr>
      <w:r>
        <w:rPr/>
        <w:t>NOW THEREFORE, in consideration of Counterparty entering into the Contract,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pPr>
      <w:r>
        <w:rPr/>
        <w:t>(b)  The aggregate amount covered by this Guaranty shall not exceed U.S. $10,000,000.</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pPr>
      <w:r>
        <w:rPr/>
      </w:r>
    </w:p>
    <w:p>
      <w:pPr>
        <w:pStyle w:val="Normal"/>
        <w:spacing w:lineRule="atLeast" w:line="240"/>
        <w:ind w:firstLine="720" w:end="0"/>
        <w:jc w:val="both"/>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pPr>
      <w:r>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rPr>
            </w:pPr>
            <w:r>
              <w:rPr>
                <w:color w:val="000000"/>
              </w:rPr>
              <w:t>To Counterparty:</w:t>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rPr>
              <w:t>Societe Industrielle de Transports Automobiles</w:t>
            </w:r>
          </w:p>
        </w:tc>
        <w:tc>
          <w:tcPr>
            <w:tcW w:w="1618" w:type="dxa"/>
            <w:tcBorders/>
          </w:tcPr>
          <w:p>
            <w:pPr>
              <w:pStyle w:val="Normal"/>
              <w:keepNext w:val="true"/>
              <w:keepLines/>
              <w:spacing w:lineRule="atLeast" w:line="240"/>
              <w:rPr>
                <w:color w:val="000000"/>
              </w:rPr>
            </w:pPr>
            <w:r>
              <w:rPr>
                <w:color w:val="000000"/>
              </w:rPr>
              <w:t>To Guarantor:</w:t>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Enron Corp.</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1400 Smith Street</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color w:val="000000"/>
              </w:rPr>
            </w:pPr>
            <w:r>
              <w:rPr>
                <w:color w:val="000000"/>
                <w:u w:val="single"/>
              </w:rPr>
              <w:tab/>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Houston, Texas  77002</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pacing w:lineRule="atLeast" w:line="240"/>
              <w:rPr/>
            </w:pPr>
            <w:r>
              <w:rPr>
                <w:color w:val="000000"/>
              </w:rPr>
              <w:t xml:space="preserve">Attn.:  </w:t>
            </w:r>
            <w:r>
              <w:rPr>
                <w:color w:val="000000"/>
                <w:u w:val="single"/>
              </w:rPr>
              <w:tab/>
            </w:r>
          </w:p>
          <w:p>
            <w:pPr>
              <w:pStyle w:val="Normal"/>
              <w:keepNext w:val="true"/>
              <w:keepLines/>
              <w:tabs>
                <w:tab w:val="clear" w:pos="720"/>
                <w:tab w:val="left" w:pos="3132" w:leader="none"/>
              </w:tabs>
              <w:spacing w:lineRule="atLeast" w:line="240"/>
              <w:rPr>
                <w:color w:val="000000"/>
              </w:rPr>
            </w:pPr>
            <w:r>
              <w:rPr>
                <w:color w:val="000000"/>
              </w:rPr>
              <w:t xml:space="preserve">Fax No.:  </w:t>
            </w:r>
            <w:r>
              <w:rPr>
                <w:color w:val="000000"/>
                <w:u w:val="single"/>
              </w:rPr>
              <w:tab/>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Attn.:  Vice President, Finance and Treasurer</w:t>
            </w:r>
          </w:p>
        </w:tc>
      </w:tr>
      <w:tr>
        <w:trPr/>
        <w:tc>
          <w:tcPr>
            <w:tcW w:w="1908" w:type="dxa"/>
            <w:tcBorders/>
          </w:tcPr>
          <w:p>
            <w:pPr>
              <w:pStyle w:val="Normal"/>
              <w:keepNext w:val="true"/>
              <w:keepLines/>
              <w:snapToGrid w:val="false"/>
              <w:spacing w:lineRule="atLeast" w:line="240"/>
              <w:rPr>
                <w:color w:val="000000"/>
              </w:rPr>
            </w:pPr>
            <w:r>
              <w:rPr>
                <w:color w:val="000000"/>
              </w:rPr>
            </w:r>
          </w:p>
        </w:tc>
        <w:tc>
          <w:tcPr>
            <w:tcW w:w="3492" w:type="dxa"/>
            <w:tcBorders/>
          </w:tcPr>
          <w:p>
            <w:pPr>
              <w:pStyle w:val="Normal"/>
              <w:keepNext w:val="true"/>
              <w:keepLines/>
              <w:tabs>
                <w:tab w:val="clear" w:pos="720"/>
                <w:tab w:val="left" w:pos="3132" w:leader="none"/>
              </w:tabs>
              <w:snapToGrid w:val="false"/>
              <w:spacing w:lineRule="atLeast" w:line="240"/>
              <w:rPr>
                <w:color w:val="000000"/>
              </w:rPr>
            </w:pPr>
            <w:r>
              <w:rPr>
                <w:color w:val="000000"/>
              </w:rPr>
            </w:r>
          </w:p>
        </w:tc>
        <w:tc>
          <w:tcPr>
            <w:tcW w:w="1618" w:type="dxa"/>
            <w:tcBorders/>
          </w:tcPr>
          <w:p>
            <w:pPr>
              <w:pStyle w:val="Normal"/>
              <w:keepNext w:val="true"/>
              <w:keepLines/>
              <w:snapToGrid w:val="false"/>
              <w:spacing w:lineRule="atLeast" w:line="240"/>
              <w:rPr>
                <w:color w:val="000000"/>
              </w:rPr>
            </w:pPr>
            <w:r>
              <w:rPr>
                <w:color w:val="000000"/>
              </w:rPr>
            </w:r>
          </w:p>
        </w:tc>
        <w:tc>
          <w:tcPr>
            <w:tcW w:w="3530" w:type="dxa"/>
            <w:tcBorders/>
          </w:tcPr>
          <w:p>
            <w:pPr>
              <w:pStyle w:val="Normal"/>
              <w:keepNext w:val="true"/>
              <w:keepLines/>
              <w:tabs>
                <w:tab w:val="clear" w:pos="720"/>
                <w:tab w:val="right" w:pos="2988" w:leader="none"/>
              </w:tabs>
              <w:spacing w:lineRule="atLeast" w:line="240"/>
              <w:rPr>
                <w:color w:val="000000"/>
              </w:rPr>
            </w:pPr>
            <w:r>
              <w:rPr>
                <w:color w:val="000000"/>
              </w:rPr>
              <w:t>Fax No.:  (713) 646-3422</w:t>
            </w:r>
          </w:p>
        </w:tc>
      </w:tr>
    </w:tbl>
    <w:p>
      <w:pPr>
        <w:pStyle w:val="Normal"/>
        <w:tabs>
          <w:tab w:val="clear" w:pos="720"/>
          <w:tab w:val="left" w:pos="2880" w:leader="none"/>
          <w:tab w:val="left" w:pos="6480" w:leader="none"/>
        </w:tabs>
        <w:spacing w:lineRule="exact" w:line="240"/>
        <w:ind w:start="720" w:end="0"/>
        <w:jc w:val="both"/>
        <w:rPr/>
      </w:pPr>
      <w:r>
        <w:rPr/>
      </w:r>
    </w:p>
    <w:p>
      <w:pPr>
        <w:pStyle w:val="Normal"/>
        <w:spacing w:lineRule="atLeast" w:line="240"/>
        <w:jc w:val="both"/>
        <w:rPr/>
      </w:pPr>
      <w:r>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IN WITNESS WHEREOF, the Guarantor has executed this Guaranty on _______________________, 1999, but it is effective as of the date first above written.</w:t>
      </w:r>
    </w:p>
    <w:p>
      <w:pPr>
        <w:pStyle w:val="Normal"/>
        <w:spacing w:lineRule="atLeast" w:line="240"/>
        <w:ind w:firstLine="720" w:end="0"/>
        <w:jc w:val="both"/>
        <w:rPr/>
      </w:pPr>
      <w:r>
        <w:rPr/>
      </w:r>
    </w:p>
    <w:p>
      <w:pPr>
        <w:pStyle w:val="Normal"/>
        <w:spacing w:lineRule="atLeast" w:line="240"/>
        <w:ind w:start="5040" w:end="0"/>
        <w:jc w:val="both"/>
        <w:rPr>
          <w:b/>
        </w:rPr>
      </w:pPr>
      <w:r>
        <w:rPr>
          <w:b/>
        </w:rPr>
        <w:t>ENRON CORP.</w:t>
      </w:r>
    </w:p>
    <w:p>
      <w:pPr>
        <w:pStyle w:val="Normal"/>
        <w:spacing w:lineRule="atLeast" w:line="240"/>
        <w:ind w:start="5040" w:end="0"/>
        <w:jc w:val="both"/>
        <w:rPr>
          <w:b/>
        </w:rPr>
      </w:pPr>
      <w:r>
        <w:rPr>
          <w:b/>
        </w:rPr>
      </w:r>
    </w:p>
    <w:p>
      <w:pPr>
        <w:pStyle w:val="Normal"/>
        <w:spacing w:lineRule="atLeast" w:line="240"/>
        <w:ind w:start="5040" w:end="0"/>
        <w:jc w:val="both"/>
        <w:rPr>
          <w:b/>
        </w:rPr>
      </w:pPr>
      <w:r>
        <w:rPr>
          <w:b/>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pStyle w:val="Normal"/>
        <w:spacing w:lineRule="atLeast" w:line="240"/>
        <w:ind w:start="5040" w:end="0"/>
        <w:jc w:val="both"/>
        <w:rPr/>
      </w:pPr>
      <w:r>
        <w:rPr/>
        <w:t xml:space="preserve">Title:  </w:t>
      </w:r>
      <w:r>
        <w:rPr>
          <w:u w:val="single"/>
        </w:rPr>
        <w:tab/>
        <w:tab/>
        <w:tab/>
        <w:tab/>
        <w:tab/>
        <w:tab/>
      </w:r>
    </w:p>
    <w:p>
      <w:pPr>
        <w:sectPr>
          <w:headerReference w:type="default" r:id="rId27"/>
          <w:headerReference w:type="first" r:id="rId28"/>
          <w:footerReference w:type="default" r:id="rId29"/>
          <w:footerReference w:type="first" r:id="rId30"/>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r>
    </w:p>
    <w:p>
      <w:pPr>
        <w:pStyle w:val="Normal"/>
        <w:rPr>
          <w:b/>
          <w:sz w:val="22"/>
        </w:rPr>
      </w:pPr>
      <w:r>
        <w:rPr>
          <w:b/>
          <w:sz w:val="22"/>
        </w:rPr>
      </w:r>
    </w:p>
    <w:p>
      <w:pPr>
        <w:pStyle w:val="Normal"/>
        <w:rPr/>
      </w:pPr>
      <w:r>
        <w:rPr/>
      </w:r>
    </w:p>
    <w:p>
      <w:pPr>
        <w:pStyle w:val="Normal"/>
        <w:jc w:val="center"/>
        <w:rPr/>
      </w:pPr>
      <w:r>
        <w:rPr/>
      </w:r>
    </w:p>
    <w:sectPr>
      <w:headerReference w:type="default" r:id="rId31"/>
      <w:headerReference w:type="first" r:id="rId32"/>
      <w:footerReference w:type="default" r:id="rId33"/>
      <w:footerReference w:type="first" r:id="rId34"/>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Normal"/>
      <w:jc w:val="center"/>
      <w:rPr>
        <w:sz w:val="20"/>
      </w:rPr>
    </w:pPr>
    <w:r>
      <w:rPr>
        <w:sz w:val="20"/>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Exhibit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2</w:t>
    </w:r>
    <w:r>
      <w:rPr>
        <w:rStyle w:val="PageNumber"/>
        <w:sz w:val="16"/>
        <w:rFonts w:cs="Arial Narrow" w:ascii="Arial Narrow" w:hAnsi="Arial Narrow"/>
      </w:rPr>
      <w:fldChar w:fldCharType="end"/>
    </w:r>
    <w:r>
      <w:rPr>
        <w:rStyle w:val="PageNumber"/>
        <w:rFonts w:cs="Arial Narrow" w:ascii="Arial Narrow" w:hAnsi="Arial Narrow"/>
        <w:sz w:val="16"/>
      </w:rPr>
      <w:t xml:space="preserve"> of 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N44608.1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N44608.1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color w:val="FF0000"/>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b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1999-11-15T21:10:00Z</dcterms:created>
  <dc:creator>mheard</dc:creator>
  <dc:description/>
  <dc:language>en-CA</dc:language>
  <cp:lastModifiedBy>jcyprow</cp:lastModifiedBy>
  <cp:lastPrinted>1999-11-16T13:52:00Z</cp:lastPrinted>
  <dcterms:modified xsi:type="dcterms:W3CDTF">1999-11-16T18:02:00Z</dcterms:modified>
  <cp:revision>12</cp:revision>
  <dc:subject/>
  <dc:title>“DEEMED ISDA” CONFIRMATION</dc:title>
</cp:coreProperties>
</file>