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4"/>
        </w:rPr>
      </w:pPr>
      <w:r>
        <w:rPr>
          <w:sz w:val="24"/>
        </w:rPr>
        <w:t>Singapore Government Regulatory Profile: Telecommunication and IT</w:t>
      </w:r>
    </w:p>
    <w:p>
      <w:pPr>
        <w:pStyle w:val="Normal"/>
        <w:rPr>
          <w:sz w:val="24"/>
        </w:rPr>
      </w:pPr>
      <w:r>
        <w:rPr>
          <w:sz w:val="24"/>
        </w:rPr>
      </w:r>
    </w:p>
    <w:p>
      <w:pPr>
        <w:pStyle w:val="Normal"/>
        <w:numPr>
          <w:ilvl w:val="0"/>
          <w:numId w:val="6"/>
        </w:numPr>
        <w:rPr/>
      </w:pPr>
      <w:r>
        <w:rPr>
          <w:b/>
        </w:rPr>
        <w:t>History of Deregulation</w:t>
      </w:r>
    </w:p>
    <w:p>
      <w:pPr>
        <w:pStyle w:val="Normal"/>
        <w:rPr/>
      </w:pPr>
      <w:r>
        <w:rPr/>
      </w:r>
    </w:p>
    <w:p>
      <w:pPr>
        <w:pStyle w:val="Normal"/>
        <w:numPr>
          <w:ilvl w:val="1"/>
          <w:numId w:val="6"/>
        </w:numPr>
        <w:tabs>
          <w:tab w:val="left" w:pos="720" w:leader="none"/>
        </w:tabs>
        <w:ind w:hanging="360" w:start="720" w:end="0"/>
        <w:rPr/>
      </w:pPr>
      <w:r>
        <w:rPr/>
        <w:t xml:space="preserve"> </w:t>
      </w:r>
      <w:r>
        <w:rPr/>
        <w:t>On 21 January 2000, the Government of Singapore announced the full liberalization of the telecommunication market, 2 years ahead of schedule.</w:t>
      </w:r>
    </w:p>
    <w:p>
      <w:pPr>
        <w:pStyle w:val="Normal"/>
        <w:numPr>
          <w:ilvl w:val="1"/>
          <w:numId w:val="6"/>
        </w:numPr>
        <w:tabs>
          <w:tab w:val="left" w:pos="720" w:leader="none"/>
        </w:tabs>
        <w:ind w:hanging="360" w:start="720" w:end="0"/>
        <w:rPr/>
      </w:pPr>
      <w:r>
        <w:rPr/>
        <w:t>An independent regulator, Info-Comm Development Agency (IDA) replaced the existing Telecommunications Authority of Singapore (TAS).</w:t>
      </w:r>
    </w:p>
    <w:p>
      <w:pPr>
        <w:pStyle w:val="Normal"/>
        <w:ind w:start="360" w:end="0"/>
        <w:rPr/>
      </w:pPr>
      <w:r>
        <w:rPr/>
      </w:r>
    </w:p>
    <w:p>
      <w:pPr>
        <w:pStyle w:val="Normal"/>
        <w:numPr>
          <w:ilvl w:val="0"/>
          <w:numId w:val="6"/>
        </w:numPr>
        <w:rPr>
          <w:b/>
        </w:rPr>
      </w:pPr>
      <w:r>
        <w:rPr>
          <w:b/>
        </w:rPr>
        <w:t>Licensing Framework</w:t>
      </w:r>
    </w:p>
    <w:p>
      <w:pPr>
        <w:pStyle w:val="Normal"/>
        <w:rPr>
          <w:b/>
        </w:rPr>
      </w:pPr>
      <w:r>
        <w:rPr>
          <w:b/>
        </w:rPr>
      </w:r>
    </w:p>
    <w:p>
      <w:pPr>
        <w:pStyle w:val="Normal"/>
        <w:numPr>
          <w:ilvl w:val="1"/>
          <w:numId w:val="6"/>
        </w:numPr>
        <w:tabs>
          <w:tab w:val="left" w:pos="720" w:leader="none"/>
        </w:tabs>
        <w:ind w:hanging="360" w:start="720" w:end="0"/>
        <w:rPr/>
      </w:pPr>
      <w:r>
        <w:rPr/>
        <w:t>The Telecommunications Act of 1999 sets out the legal framework, within which the IDA has laid down a number of regulatory principles.</w:t>
      </w:r>
    </w:p>
    <w:p>
      <w:pPr>
        <w:pStyle w:val="Normal"/>
        <w:ind w:start="360" w:end="0"/>
        <w:rPr/>
      </w:pPr>
      <w:r>
        <w:rPr/>
      </w:r>
    </w:p>
    <w:p>
      <w:pPr>
        <w:pStyle w:val="Normal"/>
        <w:numPr>
          <w:ilvl w:val="1"/>
          <w:numId w:val="7"/>
        </w:numPr>
        <w:rPr/>
      </w:pPr>
      <w:r>
        <w:rPr/>
        <w:t>Interconnection based on “Any to any” connectivity</w:t>
      </w:r>
    </w:p>
    <w:p>
      <w:pPr>
        <w:pStyle w:val="Normal"/>
        <w:numPr>
          <w:ilvl w:val="1"/>
          <w:numId w:val="7"/>
        </w:numPr>
        <w:rPr/>
      </w:pPr>
      <w:r>
        <w:rPr/>
        <w:t>Pricing based on long-term incremental costs</w:t>
      </w:r>
    </w:p>
    <w:p>
      <w:pPr>
        <w:pStyle w:val="Normal"/>
        <w:numPr>
          <w:ilvl w:val="1"/>
          <w:numId w:val="7"/>
        </w:numPr>
        <w:rPr/>
      </w:pPr>
      <w:r>
        <w:rPr/>
        <w:t>Industry-based commercial negotiation, with IDA acting as a moderator and arbitrator</w:t>
      </w:r>
    </w:p>
    <w:p>
      <w:pPr>
        <w:pStyle w:val="Normal"/>
        <w:numPr>
          <w:ilvl w:val="1"/>
          <w:numId w:val="7"/>
        </w:numPr>
        <w:rPr/>
      </w:pPr>
      <w:r>
        <w:rPr/>
        <w:t xml:space="preserve">  </w:t>
      </w:r>
      <w:r>
        <w:rPr/>
        <w:t>Pricing should be on unbundled network elements so that new FBOs can decide on build versus lease   decisions</w:t>
      </w:r>
    </w:p>
    <w:p>
      <w:pPr>
        <w:pStyle w:val="Normal"/>
        <w:numPr>
          <w:ilvl w:val="1"/>
          <w:numId w:val="7"/>
        </w:numPr>
        <w:rPr/>
      </w:pPr>
      <w:r>
        <w:rPr/>
        <w:t xml:space="preserve"> </w:t>
      </w:r>
      <w:r>
        <w:rPr/>
        <w:t>IDA sets and monitors the Quality of Service Standard. The Code of Practice sets out the legal framework for fair competition in the areas of interconnection, access and infrastructure sharing.</w:t>
      </w:r>
    </w:p>
    <w:p>
      <w:pPr>
        <w:pStyle w:val="Normal"/>
        <w:ind w:start="630" w:end="0"/>
        <w:rPr/>
      </w:pPr>
      <w:r>
        <w:rPr/>
      </w:r>
    </w:p>
    <w:p>
      <w:pPr>
        <w:pStyle w:val="Normal"/>
        <w:numPr>
          <w:ilvl w:val="2"/>
          <w:numId w:val="7"/>
        </w:numPr>
        <w:rPr/>
      </w:pPr>
      <w:r>
        <w:rPr/>
        <w:t xml:space="preserve"> </w:t>
      </w:r>
      <w:r>
        <w:rPr/>
        <w:t>A Licensee will be classed as dominant if it controls facilities that a) provide direct physical connection to end users within Singapore, or b) are not subjected to sufficient competition to prevent the licensee from using its control over those facilities to restrict output or raise prices to end users above the competitive levels, or c) are sufficiently costly or difficult to replicate that requiring new entrants to do so would create a significant barrier to rapid and successful entry.</w:t>
      </w:r>
    </w:p>
    <w:p>
      <w:pPr>
        <w:pStyle w:val="Normal"/>
        <w:ind w:start="1260" w:end="0"/>
        <w:rPr/>
      </w:pPr>
      <w:r>
        <w:rPr/>
      </w:r>
    </w:p>
    <w:p>
      <w:pPr>
        <w:pStyle w:val="Normal"/>
        <w:numPr>
          <w:ilvl w:val="2"/>
          <w:numId w:val="7"/>
        </w:numPr>
        <w:rPr/>
      </w:pPr>
      <w:r>
        <w:rPr/>
        <w:t>Dominant licensees are than required to  provide any customer service on demand and at charge rates that are just and reasonable.  Must file tariffs with IDA before offering to customers and obtain IDA’s approval.</w:t>
      </w:r>
    </w:p>
    <w:p>
      <w:pPr>
        <w:pStyle w:val="Normal"/>
        <w:ind w:start="1890" w:end="0"/>
        <w:rPr/>
      </w:pPr>
      <w:r>
        <w:rPr/>
      </w:r>
    </w:p>
    <w:p>
      <w:pPr>
        <w:pStyle w:val="BodyTextIndent"/>
        <w:numPr>
          <w:ilvl w:val="2"/>
          <w:numId w:val="7"/>
        </w:numPr>
        <w:rPr/>
      </w:pPr>
      <w:r>
        <w:rPr/>
        <w:t>All licensees must submit to the IDA a Reference Interconnection Offer (RIO), a document that specifies both the set of unbundled services the licensees will offer to other licensees and the general commercial terms for an agreement.</w:t>
      </w:r>
    </w:p>
    <w:p>
      <w:pPr>
        <w:pStyle w:val="BodyTextIndent"/>
        <w:ind w:hanging="0" w:start="1260" w:end="0"/>
        <w:rPr/>
      </w:pPr>
      <w:r>
        <w:rPr/>
      </w:r>
    </w:p>
    <w:p>
      <w:pPr>
        <w:pStyle w:val="Normal"/>
        <w:numPr>
          <w:ilvl w:val="1"/>
          <w:numId w:val="6"/>
        </w:numPr>
        <w:tabs>
          <w:tab w:val="left" w:pos="720" w:leader="none"/>
        </w:tabs>
        <w:ind w:hanging="360" w:start="720" w:end="0"/>
        <w:rPr/>
      </w:pPr>
      <w:r>
        <w:rPr/>
        <w:t>Two–pronged licensing approach: facilities and services based.</w:t>
      </w:r>
    </w:p>
    <w:p>
      <w:pPr>
        <w:pStyle w:val="Normal"/>
        <w:ind w:start="360" w:end="0"/>
        <w:rPr/>
      </w:pPr>
      <w:r>
        <w:rPr/>
      </w:r>
    </w:p>
    <w:p>
      <w:pPr>
        <w:pStyle w:val="Normal"/>
        <w:spacing w:lineRule="atLeast" w:line="240"/>
        <w:ind w:firstLine="720" w:end="0"/>
        <w:rPr/>
      </w:pPr>
      <w:r>
        <w:rPr/>
        <w:t>2.21 Facilities Based Operators (FBOs) License:</w:t>
      </w:r>
    </w:p>
    <w:p>
      <w:pPr>
        <w:pStyle w:val="Normal"/>
        <w:spacing w:lineRule="atLeast" w:line="240"/>
        <w:ind w:firstLine="720" w:end="0"/>
        <w:rPr/>
      </w:pPr>
      <w:r>
        <w:rPr/>
      </w:r>
    </w:p>
    <w:p>
      <w:pPr>
        <w:pStyle w:val="BodyTextIndent3"/>
        <w:rPr/>
      </w:pPr>
      <w:r>
        <w:rPr/>
        <w:t xml:space="preserve">2.211 Definition:  Operators intending to deploy any form of telecommunication networks, systems and facilities to offer telecommunication switching and/or transmission capacity and/or services to existing licensed telecommunication operators, businesses and/or consumers.  </w:t>
      </w:r>
    </w:p>
    <w:p>
      <w:pPr>
        <w:pStyle w:val="BodyTextIndent3"/>
        <w:rPr/>
      </w:pPr>
      <w:r>
        <w:rPr/>
      </w:r>
    </w:p>
    <w:p>
      <w:pPr>
        <w:pStyle w:val="BodyTextIndent3"/>
        <w:numPr>
          <w:ilvl w:val="1"/>
          <w:numId w:val="8"/>
        </w:numPr>
        <w:rPr/>
      </w:pPr>
      <w:r>
        <w:rPr/>
        <w:t>Scope: Any terrestrial telecommunications infrastructure for the carriage of telecommunication or broadcast traffic (international, local or selected geographic coverage)</w:t>
      </w:r>
    </w:p>
    <w:p>
      <w:pPr>
        <w:pStyle w:val="BodyTextIndent3"/>
        <w:ind w:hanging="0" w:start="1170" w:end="0"/>
        <w:rPr/>
      </w:pPr>
      <w:r>
        <w:rPr/>
      </w:r>
    </w:p>
    <w:p>
      <w:pPr>
        <w:pStyle w:val="BodyTextIndent3"/>
        <w:numPr>
          <w:ilvl w:val="1"/>
          <w:numId w:val="8"/>
        </w:numPr>
        <w:rPr/>
      </w:pPr>
      <w:r>
        <w:rPr/>
        <w:t>Obligations:  a performance bond  for a sum amounting to 5% of its total budgeted capital investment as stated in the application is required to secure the commitments of the licensee. Licensee is required to comply with all interconnection and access obligation as well as the QoS standards set by IDA.  Applicants will be bound by all terms, commitments, offers, proposals, plans stated in their application</w:t>
      </w:r>
    </w:p>
    <w:p>
      <w:pPr>
        <w:pStyle w:val="Normal"/>
        <w:keepLines/>
        <w:spacing w:lineRule="atLeast" w:line="240"/>
        <w:rPr/>
      </w:pPr>
      <w:r>
        <w:rPr/>
      </w:r>
    </w:p>
    <w:p>
      <w:pPr>
        <w:pStyle w:val="BodyTextIndent3"/>
        <w:numPr>
          <w:ilvl w:val="1"/>
          <w:numId w:val="8"/>
        </w:numPr>
        <w:rPr/>
      </w:pPr>
      <w:r>
        <w:rPr/>
        <w:t>Fee:  An application fee of $570 (S$1,000) and annual fee of 1% of Annual Gross Turnover, subject to minimum of $57,000 (S$100,000).</w:t>
      </w:r>
    </w:p>
    <w:p>
      <w:pPr>
        <w:pStyle w:val="BodyTextIndent3"/>
        <w:ind w:hanging="0" w:start="1170" w:end="0"/>
        <w:rPr/>
      </w:pPr>
      <w:r>
        <w:rPr/>
      </w:r>
    </w:p>
    <w:p>
      <w:pPr>
        <w:pStyle w:val="BodyTextIndent3"/>
        <w:numPr>
          <w:ilvl w:val="1"/>
          <w:numId w:val="8"/>
        </w:numPr>
        <w:rPr/>
      </w:pPr>
      <w:r>
        <w:rPr/>
        <w:t>License Duration: 15 years.</w:t>
      </w:r>
    </w:p>
    <w:p>
      <w:pPr>
        <w:pStyle w:val="BodyTextIndent3"/>
        <w:ind w:hanging="0" w:start="0" w:end="0"/>
        <w:rPr/>
      </w:pPr>
      <w:r>
        <w:rPr/>
      </w:r>
    </w:p>
    <w:p>
      <w:pPr>
        <w:pStyle w:val="BodyTextIndent3"/>
        <w:numPr>
          <w:ilvl w:val="1"/>
          <w:numId w:val="8"/>
        </w:numPr>
        <w:rPr/>
      </w:pPr>
      <w:r>
        <w:rPr/>
        <w:t>Time for granting the license : 8 weeks.</w:t>
      </w:r>
    </w:p>
    <w:p>
      <w:pPr>
        <w:pStyle w:val="BodyTextIndent3"/>
        <w:ind w:hanging="0" w:start="0" w:end="0"/>
        <w:rPr/>
      </w:pPr>
      <w:r>
        <w:rPr/>
      </w:r>
    </w:p>
    <w:p>
      <w:pPr>
        <w:pStyle w:val="Normal"/>
        <w:numPr>
          <w:ilvl w:val="1"/>
          <w:numId w:val="5"/>
        </w:numPr>
        <w:spacing w:lineRule="atLeast" w:line="240"/>
        <w:rPr/>
      </w:pPr>
      <w:r>
        <w:rPr/>
        <w:t xml:space="preserve">  </w:t>
      </w:r>
      <w:r>
        <w:rPr/>
        <w:t>Service Based Operators (SBOs) License:</w:t>
      </w:r>
    </w:p>
    <w:p>
      <w:pPr>
        <w:pStyle w:val="Normal"/>
        <w:spacing w:lineRule="atLeast" w:line="240"/>
        <w:ind w:start="720" w:end="0"/>
        <w:rPr/>
      </w:pPr>
      <w:r>
        <w:rPr/>
      </w:r>
    </w:p>
    <w:p>
      <w:pPr>
        <w:pStyle w:val="BodyTextIndent3"/>
        <w:numPr>
          <w:ilvl w:val="1"/>
          <w:numId w:val="2"/>
        </w:numPr>
        <w:rPr/>
      </w:pPr>
      <w:r>
        <w:rPr/>
        <w:t>Definition:  Operators who lease telecommunications network elements (such as transmission capacity, switching services, ducts, fiber) from FBO licensees to provide telecommunication services to third parties; or resell the telecommunication services of FBOs.</w:t>
      </w:r>
    </w:p>
    <w:p>
      <w:pPr>
        <w:pStyle w:val="BodyTextIndent3"/>
        <w:ind w:hanging="0" w:start="1170" w:end="0"/>
        <w:rPr/>
      </w:pPr>
      <w:r>
        <w:rPr/>
      </w:r>
    </w:p>
    <w:p>
      <w:pPr>
        <w:pStyle w:val="BodyTextIndent3"/>
        <w:numPr>
          <w:ilvl w:val="1"/>
          <w:numId w:val="2"/>
        </w:numPr>
        <w:rPr/>
      </w:pPr>
      <w:r>
        <w:rPr/>
        <w:t xml:space="preserve">Scope:  SBO can be either individually licensed or class-licensed.  In general, operators who lease international transmission capacity for the provision of their services will be licensed individually.  Services which are provided over public network and/or Internet will be class-licensed.   Class licensees are only required to register with IDA and pay the registration fee. </w:t>
      </w:r>
    </w:p>
    <w:p>
      <w:pPr>
        <w:pStyle w:val="BodyTextIndent3"/>
        <w:ind w:hanging="0" w:start="0" w:end="0"/>
        <w:rPr/>
      </w:pPr>
      <w:r>
        <w:rPr/>
      </w:r>
    </w:p>
    <w:p>
      <w:pPr>
        <w:pStyle w:val="BodyTextIndent3"/>
        <w:numPr>
          <w:ilvl w:val="1"/>
          <w:numId w:val="2"/>
        </w:numPr>
        <w:rPr/>
      </w:pPr>
      <w:r>
        <w:rPr/>
        <w:t xml:space="preserve">Fee:  Annual Fee for individual  SBO,  1% of Annual Gross Turnover, subject to minimum of $5,700 (S$10,000) </w:t>
      </w:r>
    </w:p>
    <w:p>
      <w:pPr>
        <w:pStyle w:val="Normal"/>
        <w:keepLines/>
        <w:spacing w:lineRule="atLeast" w:line="240"/>
        <w:rPr/>
      </w:pPr>
      <w:r>
        <w:rPr/>
      </w:r>
    </w:p>
    <w:p>
      <w:pPr>
        <w:pStyle w:val="Normal"/>
        <w:keepLines/>
        <w:numPr>
          <w:ilvl w:val="1"/>
          <w:numId w:val="2"/>
        </w:numPr>
        <w:spacing w:lineRule="atLeast" w:line="240"/>
        <w:rPr/>
      </w:pPr>
      <w:r>
        <w:rPr/>
        <w:t>License Duration: 5 years</w:t>
      </w:r>
    </w:p>
    <w:p>
      <w:pPr>
        <w:pStyle w:val="Normal"/>
        <w:keepLines/>
        <w:spacing w:lineRule="atLeast" w:line="240"/>
        <w:rPr/>
      </w:pPr>
      <w:r>
        <w:rPr/>
      </w:r>
    </w:p>
    <w:p>
      <w:pPr>
        <w:pStyle w:val="BodyTextIndent3"/>
        <w:numPr>
          <w:ilvl w:val="1"/>
          <w:numId w:val="2"/>
        </w:numPr>
        <w:rPr/>
      </w:pPr>
      <w:r>
        <w:rPr/>
        <w:t>Time for granting the license : 4 weeks</w:t>
      </w:r>
    </w:p>
    <w:p>
      <w:pPr>
        <w:pStyle w:val="BodyTextIndent3"/>
        <w:ind w:hanging="0" w:start="0" w:end="0"/>
        <w:rPr/>
      </w:pPr>
      <w:r>
        <w:rPr/>
      </w:r>
    </w:p>
    <w:p>
      <w:pPr>
        <w:pStyle w:val="Normal"/>
        <w:numPr>
          <w:ilvl w:val="0"/>
          <w:numId w:val="6"/>
        </w:numPr>
        <w:rPr>
          <w:b/>
        </w:rPr>
      </w:pPr>
      <w:r>
        <w:rPr>
          <w:b/>
        </w:rPr>
        <w:t>Tax Incentives</w:t>
      </w:r>
    </w:p>
    <w:p>
      <w:pPr>
        <w:pStyle w:val="Normal"/>
        <w:rPr>
          <w:b/>
        </w:rPr>
      </w:pPr>
      <w:r>
        <w:rPr>
          <w:b/>
        </w:rPr>
      </w:r>
    </w:p>
    <w:p>
      <w:pPr>
        <w:pStyle w:val="BodyTextIndent2"/>
        <w:numPr>
          <w:ilvl w:val="1"/>
          <w:numId w:val="4"/>
        </w:numPr>
        <w:rPr/>
      </w:pPr>
      <w:r>
        <w:rPr/>
        <w:t>Basic business tax is 25.5%, but there is a good prospect of obtaining Pioneer status from EDB (Economic Development Board), which will reduce the tax rate to 10% with some possibility of obtaining 0%.</w:t>
      </w:r>
    </w:p>
    <w:p>
      <w:pPr>
        <w:pStyle w:val="BodyTextIndent2"/>
        <w:tabs>
          <w:tab w:val="clear" w:pos="720"/>
        </w:tabs>
        <w:ind w:hanging="0" w:start="360" w:end="0"/>
        <w:rPr/>
      </w:pPr>
      <w:r>
        <w:rPr/>
      </w:r>
    </w:p>
    <w:p>
      <w:pPr>
        <w:pStyle w:val="BodyTextIndent2"/>
        <w:numPr>
          <w:ilvl w:val="1"/>
          <w:numId w:val="4"/>
        </w:numPr>
        <w:rPr/>
      </w:pPr>
      <w:r>
        <w:rPr/>
        <w:t>EDB has agreed that bandwidth trading is in principle a new activity in Singapore (there is current no other companies performing similar activities) and will work with and offer assistance on EBS’s application,. Approval will depend on the merits of the case.</w:t>
      </w:r>
    </w:p>
    <w:p>
      <w:pPr>
        <w:pStyle w:val="BodyTextIndent2"/>
        <w:tabs>
          <w:tab w:val="clear" w:pos="720"/>
        </w:tabs>
        <w:ind w:hanging="0" w:start="360" w:end="0"/>
        <w:rPr/>
      </w:pPr>
      <w:r>
        <w:rPr/>
      </w:r>
    </w:p>
    <w:p>
      <w:pPr>
        <w:pStyle w:val="Normal"/>
        <w:numPr>
          <w:ilvl w:val="1"/>
          <w:numId w:val="4"/>
        </w:numPr>
        <w:rPr/>
      </w:pPr>
      <w:r>
        <w:rPr/>
        <w:t xml:space="preserve">The Trade Development Board (TDB) also offer Pioneer Status for Counter Trade for companies engaging solely in counter trade, performing at least one segment of each transaction through Singapore.  TBD also offer International Trader Incentive on certain approved international trading activities, if approved tax rate is reduced to 10%.  Enron is already an Approved Oil Trader under similar program. </w:t>
      </w:r>
    </w:p>
    <w:p>
      <w:pPr>
        <w:pStyle w:val="Normal"/>
        <w:ind w:start="360" w:end="0"/>
        <w:rPr/>
      </w:pPr>
      <w:r>
        <w:rPr/>
      </w:r>
    </w:p>
    <w:p>
      <w:pPr>
        <w:pStyle w:val="Heading2"/>
        <w:numPr>
          <w:ilvl w:val="0"/>
          <w:numId w:val="4"/>
        </w:numPr>
        <w:ind w:hanging="0" w:start="0"/>
        <w:rPr/>
      </w:pPr>
      <w:r>
        <w:rPr/>
        <w:t>Enron current regulatory position</w:t>
      </w:r>
    </w:p>
    <w:p>
      <w:pPr>
        <w:pStyle w:val="Normal"/>
        <w:rPr/>
      </w:pPr>
      <w:r>
        <w:rPr/>
      </w:r>
    </w:p>
    <w:p>
      <w:pPr>
        <w:pStyle w:val="Normal"/>
        <w:numPr>
          <w:ilvl w:val="1"/>
          <w:numId w:val="4"/>
        </w:numPr>
        <w:rPr/>
      </w:pPr>
      <w:r>
        <w:rPr/>
        <w:t>Legal is working with local counsel to set up a Singaporean entity.  No decision has been made internally concerning which license to obtain, although IDA, upon reviewing our activities, has advised EBS to first obtain the SBO class license since EBS can always upgrade to the more rigors FBO license when our business expands.</w:t>
      </w:r>
    </w:p>
    <w:p>
      <w:pPr>
        <w:pStyle w:val="Normal"/>
        <w:ind w:start="360" w:end="0"/>
        <w:rPr/>
      </w:pPr>
      <w:r>
        <w:rPr/>
      </w:r>
    </w:p>
    <w:p>
      <w:pPr>
        <w:pStyle w:val="Heading2"/>
        <w:numPr>
          <w:ilvl w:val="0"/>
          <w:numId w:val="4"/>
        </w:numPr>
        <w:ind w:hanging="0" w:start="0"/>
        <w:rPr/>
      </w:pPr>
      <w:r>
        <w:rPr/>
        <w:t xml:space="preserve">Video On Demand </w:t>
      </w:r>
    </w:p>
    <w:p>
      <w:pPr>
        <w:pStyle w:val="Normal"/>
        <w:rPr/>
      </w:pPr>
      <w:r>
        <w:rPr/>
      </w:r>
    </w:p>
    <w:p>
      <w:pPr>
        <w:pStyle w:val="Normal"/>
        <w:numPr>
          <w:ilvl w:val="1"/>
          <w:numId w:val="4"/>
        </w:numPr>
        <w:rPr/>
      </w:pPr>
      <w:r>
        <w:rPr/>
        <w:t>Broadcasters who provide VOD services in Singapore require a VOD license from the Singapore Broadcasting Authority (SBA).  In deciding whether to grant a VOD license, SBA takes into consideration the applicants’ intended nature of service, program content and business plans.</w:t>
      </w:r>
    </w:p>
    <w:p>
      <w:pPr>
        <w:pStyle w:val="Normal"/>
        <w:ind w:start="360" w:end="0"/>
        <w:rPr/>
      </w:pPr>
      <w:r>
        <w:rPr/>
      </w:r>
    </w:p>
    <w:p>
      <w:pPr>
        <w:pStyle w:val="Normal"/>
        <w:numPr>
          <w:ilvl w:val="1"/>
          <w:numId w:val="4"/>
        </w:numPr>
        <w:rPr/>
      </w:pPr>
      <w:r>
        <w:rPr/>
        <w:t>Conditions of the licenses</w:t>
      </w:r>
    </w:p>
    <w:p>
      <w:pPr>
        <w:pStyle w:val="Normal"/>
        <w:rPr/>
      </w:pPr>
      <w:r>
        <w:rPr/>
      </w:r>
    </w:p>
    <w:p>
      <w:pPr>
        <w:pStyle w:val="Normal"/>
        <w:ind w:start="720" w:end="0"/>
        <w:rPr/>
      </w:pPr>
      <w:r>
        <w:rPr/>
        <w:t>5.21  No foreign ownership restrictions</w:t>
      </w:r>
    </w:p>
    <w:p>
      <w:pPr>
        <w:pStyle w:val="Normal"/>
        <w:ind w:start="720" w:end="0"/>
        <w:rPr/>
      </w:pPr>
      <w:r>
        <w:rPr/>
        <w:t>5.22  license period of 5 years</w:t>
      </w:r>
    </w:p>
    <w:p>
      <w:pPr>
        <w:pStyle w:val="Normal"/>
        <w:numPr>
          <w:ilvl w:val="1"/>
          <w:numId w:val="3"/>
        </w:numPr>
        <w:rPr/>
      </w:pPr>
      <w:r>
        <w:rPr/>
        <w:t>License fee of S$50,000 for the first 3 years and 2.5% of the total revenue for the next 2 years</w:t>
      </w:r>
    </w:p>
    <w:p>
      <w:pPr>
        <w:pStyle w:val="Normal"/>
        <w:numPr>
          <w:ilvl w:val="1"/>
          <w:numId w:val="3"/>
        </w:numPr>
        <w:rPr/>
      </w:pPr>
      <w:r>
        <w:rPr/>
        <w:t>A performance bond of S$50,000 must be deposited with SBA</w:t>
      </w:r>
    </w:p>
    <w:p>
      <w:pPr>
        <w:pStyle w:val="Normal"/>
        <w:numPr>
          <w:ilvl w:val="1"/>
          <w:numId w:val="3"/>
        </w:numPr>
        <w:rPr/>
      </w:pPr>
      <w:r>
        <w:rPr/>
        <w:t>Time for approval: 1 month</w:t>
      </w:r>
    </w:p>
    <w:p>
      <w:pPr>
        <w:pStyle w:val="Normal"/>
        <w:rPr/>
      </w:pPr>
      <w:r>
        <w:rPr/>
        <w:t xml:space="preserve"> </w:t>
      </w:r>
    </w:p>
    <w:p>
      <w:pPr>
        <w:pStyle w:val="BodyTextIndent2"/>
        <w:tabs>
          <w:tab w:val="clear" w:pos="720"/>
        </w:tabs>
        <w:rPr/>
      </w:pPr>
      <w:r>
        <w:rPr/>
        <w:t>5.3</w:t>
        <w:tab/>
        <w:t>Licensees are required to exercise editorial responsibility to ensure that all VOD programs must observe the strict VOD program code, in matters such as pornography, religion, violence and political issues.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footerReference w:type="default" r:id="rId3"/>
      <w:type w:val="nextPage"/>
      <w:pgSz w:w="12240" w:h="15840"/>
      <w:pgMar w:left="1440" w:right="1440" w:gutter="0" w:header="72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w:instrText>
    </w:r>
    <w:r>
      <w:rPr>
        <w:sz w:val="12"/>
        <w:rFonts w:cs="Arial" w:ascii="Arial" w:hAnsi="Arial"/>
        <w:lang w:eastAsia="en-US"/>
      </w:rPr>
      <w:fldChar w:fldCharType="separate"/>
    </w:r>
    <w:r>
      <w:rPr>
        <w:sz w:val="12"/>
        <w:rFonts w:cs="Arial" w:ascii="Arial" w:hAnsi="Arial"/>
        <w:lang w:eastAsia="en-US"/>
      </w:rPr>
      <w:t>Singapore_Regulatory_Profile.doc</w:t>
    </w:r>
    <w:r>
      <w:rPr>
        <w:sz w:val="12"/>
        <w:rFonts w:cs="Arial" w:ascii="Arial" w:hAnsi="Arial"/>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6"/>
      </w:rPr>
    </w:pPr>
    <w:r>
      <w:rPr>
        <w:rFonts w:cs="Arial" w:ascii="Arial" w:hAnsi="Arial"/>
        <w:sz w:val="16"/>
      </w:rPr>
      <w:t xml:space="preserve">Enron Broadband Service </w:t>
    </w:r>
  </w:p>
  <w:p>
    <w:pPr>
      <w:pStyle w:val="Header"/>
      <w:rPr>
        <w:rFonts w:ascii="Arial" w:hAnsi="Arial" w:cs="Arial"/>
        <w:sz w:val="16"/>
      </w:rPr>
    </w:pPr>
    <w:r>
      <w:rPr>
        <w:rFonts w:cs="Arial" w:ascii="Arial" w:hAnsi="Arial"/>
        <w:sz w:val="16"/>
      </w:rPr>
      <w:t xml:space="preserve">Confidential </w:t>
    </w:r>
  </w:p>
  <w:p>
    <w:pPr>
      <w:pStyle w:val="Header"/>
      <w:rPr>
        <w:rFonts w:ascii="Arial" w:hAnsi="Arial" w:cs="Arial"/>
        <w:sz w:val="16"/>
      </w:rPr>
    </w:pPr>
    <w:r>
      <w:rPr>
        <w:rFonts w:cs="Arial" w:ascii="Arial" w:hAnsi="Arial"/>
        <w:sz w:val="16"/>
      </w:rPr>
      <w:t xml:space="preserve">prepared by Xi Xi, EBS regulatory affairs </w:t>
    </w:r>
  </w:p>
  <w:p>
    <w:pPr>
      <w:pStyle w:val="Header"/>
      <w:rPr>
        <w:rFonts w:ascii="Arial" w:hAnsi="Arial" w:cs="Arial"/>
        <w:sz w:val="16"/>
      </w:rPr>
    </w:pPr>
    <w:r>
      <w:rPr>
        <w:rFonts w:cs="Arial" w:ascii="Arial" w:hAnsi="Arial"/>
        <w:sz w:val="16"/>
      </w:rPr>
      <w:t>Version Date: Jan 8,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540"/>
        </w:tabs>
        <w:ind w:start="540" w:hanging="540"/>
      </w:pPr>
      <w:rPr/>
    </w:lvl>
    <w:lvl w:ilvl="1">
      <w:start w:val="221"/>
      <w:numFmt w:val="decimal"/>
      <w:lvlText w:val="%1.%2"/>
      <w:lvlJc w:val="start"/>
      <w:pPr>
        <w:tabs>
          <w:tab w:val="num" w:pos="1710"/>
        </w:tabs>
        <w:ind w:start="1710" w:hanging="540"/>
      </w:pPr>
      <w:rPr/>
    </w:lvl>
    <w:lvl w:ilvl="2">
      <w:start w:val="1"/>
      <w:numFmt w:val="decimal"/>
      <w:lvlText w:val="%1.%2.%3"/>
      <w:lvlJc w:val="start"/>
      <w:pPr>
        <w:tabs>
          <w:tab w:val="num" w:pos="3060"/>
        </w:tabs>
        <w:ind w:start="3060" w:hanging="720"/>
      </w:pPr>
      <w:rPr/>
    </w:lvl>
    <w:lvl w:ilvl="3">
      <w:start w:val="1"/>
      <w:numFmt w:val="decimal"/>
      <w:lvlText w:val="%1.%2.%3.%4"/>
      <w:lvlJc w:val="start"/>
      <w:pPr>
        <w:tabs>
          <w:tab w:val="num" w:pos="4230"/>
        </w:tabs>
        <w:ind w:start="4230" w:hanging="720"/>
      </w:pPr>
      <w:rPr/>
    </w:lvl>
    <w:lvl w:ilvl="4">
      <w:start w:val="1"/>
      <w:numFmt w:val="decimal"/>
      <w:lvlText w:val="%1.%2.%3.%4.%5"/>
      <w:lvlJc w:val="start"/>
      <w:pPr>
        <w:tabs>
          <w:tab w:val="num" w:pos="5400"/>
        </w:tabs>
        <w:ind w:start="5400" w:hanging="720"/>
      </w:pPr>
      <w:rPr/>
    </w:lvl>
    <w:lvl w:ilvl="5">
      <w:start w:val="1"/>
      <w:numFmt w:val="decimal"/>
      <w:lvlText w:val="%1.%2.%3.%4.%5.%6"/>
      <w:lvlJc w:val="start"/>
      <w:pPr>
        <w:tabs>
          <w:tab w:val="num" w:pos="6930"/>
        </w:tabs>
        <w:ind w:start="6930" w:hanging="1080"/>
      </w:pPr>
      <w:rPr/>
    </w:lvl>
    <w:lvl w:ilvl="6">
      <w:start w:val="1"/>
      <w:numFmt w:val="decimal"/>
      <w:lvlText w:val="%1.%2.%3.%4.%5.%6.%7"/>
      <w:lvlJc w:val="start"/>
      <w:pPr>
        <w:tabs>
          <w:tab w:val="num" w:pos="8100"/>
        </w:tabs>
        <w:ind w:start="8100" w:hanging="1080"/>
      </w:pPr>
      <w:rPr/>
    </w:lvl>
    <w:lvl w:ilvl="7">
      <w:start w:val="1"/>
      <w:numFmt w:val="decimal"/>
      <w:lvlText w:val="%1.%2.%3.%4.%5.%6.%7.%8"/>
      <w:lvlJc w:val="start"/>
      <w:pPr>
        <w:tabs>
          <w:tab w:val="num" w:pos="9630"/>
        </w:tabs>
        <w:ind w:start="9630" w:hanging="1440"/>
      </w:pPr>
      <w:rPr/>
    </w:lvl>
    <w:lvl w:ilvl="8">
      <w:start w:val="1"/>
      <w:numFmt w:val="decimal"/>
      <w:lvlText w:val="%1.%2.%3.%4.%5.%6.%7.%8.%9"/>
      <w:lvlJc w:val="start"/>
      <w:pPr>
        <w:tabs>
          <w:tab w:val="num" w:pos="10800"/>
        </w:tabs>
        <w:ind w:start="10800" w:hanging="1440"/>
      </w:pPr>
      <w:rPr/>
    </w:lvl>
  </w:abstractNum>
  <w:abstractNum w:abstractNumId="3">
    <w:lvl w:ilvl="0">
      <w:start w:val="5"/>
      <w:numFmt w:val="decimal"/>
      <w:lvlText w:val="%1"/>
      <w:lvlJc w:val="start"/>
      <w:pPr>
        <w:tabs>
          <w:tab w:val="num" w:pos="450"/>
        </w:tabs>
        <w:ind w:start="450" w:hanging="450"/>
      </w:pPr>
      <w:rPr/>
    </w:lvl>
    <w:lvl w:ilvl="1">
      <w:start w:val="23"/>
      <w:numFmt w:val="decimal"/>
      <w:lvlText w:val="%1.%2"/>
      <w:lvlJc w:val="start"/>
      <w:pPr>
        <w:tabs>
          <w:tab w:val="num" w:pos="1170"/>
        </w:tabs>
        <w:ind w:start="1170" w:hanging="45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4">
    <w:lvl w:ilvl="0">
      <w:start w:val="3"/>
      <w:numFmt w:val="decimal"/>
      <w:lvlText w:val="%1"/>
      <w:lvlJc w:val="start"/>
      <w:pPr>
        <w:tabs>
          <w:tab w:val="num" w:pos="360"/>
        </w:tabs>
        <w:ind w:start="360" w:hanging="360"/>
      </w:pPr>
      <w:rPr/>
    </w:lvl>
    <w:lvl w:ilvl="1">
      <w:start w:val="1"/>
      <w:numFmt w:val="decimal"/>
      <w:lvlText w:val="%1.%2"/>
      <w:lvlJc w:val="start"/>
      <w:pPr>
        <w:tabs>
          <w:tab w:val="num" w:pos="720"/>
        </w:tabs>
        <w:ind w:start="720" w:hanging="36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160"/>
        </w:tabs>
        <w:ind w:start="2160" w:hanging="72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240"/>
        </w:tabs>
        <w:ind w:start="3240" w:hanging="108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320"/>
        </w:tabs>
        <w:ind w:start="4320" w:hanging="1440"/>
      </w:pPr>
      <w:rPr/>
    </w:lvl>
  </w:abstractNum>
  <w:abstractNum w:abstractNumId="5">
    <w:lvl w:ilvl="0">
      <w:start w:val="2"/>
      <w:numFmt w:val="decimal"/>
      <w:lvlText w:val="%1"/>
      <w:lvlJc w:val="start"/>
      <w:pPr>
        <w:tabs>
          <w:tab w:val="num" w:pos="360"/>
        </w:tabs>
        <w:ind w:start="360" w:hanging="360"/>
      </w:pPr>
      <w:rPr/>
    </w:lvl>
    <w:lvl w:ilvl="1">
      <w:start w:val="2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6">
    <w:lvl w:ilvl="0">
      <w:start w:val="1"/>
      <w:numFmt w:val="decimal"/>
      <w:lvlText w:val="%1."/>
      <w:lvlJc w:val="start"/>
      <w:pPr>
        <w:tabs>
          <w:tab w:val="num" w:pos="360"/>
        </w:tabs>
        <w:ind w:start="360" w:hanging="360"/>
      </w:pPr>
      <w:rPr/>
    </w:lvl>
    <w:lvl w:ilvl="1">
      <w:start w:val="1"/>
      <w:isLgl/>
      <w:numFmt w:val="decimal"/>
      <w:lvlText w:val="%1.%2"/>
      <w:lvlJc w:val="start"/>
      <w:pPr>
        <w:tabs>
          <w:tab w:val="num" w:pos="360"/>
        </w:tabs>
        <w:ind w:start="360" w:hanging="360"/>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720"/>
        </w:tabs>
        <w:ind w:start="720" w:hanging="72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080"/>
        </w:tabs>
        <w:ind w:start="1080" w:hanging="108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440"/>
        </w:tabs>
        <w:ind w:start="1440" w:hanging="1440"/>
      </w:pPr>
      <w:rPr/>
    </w:lvl>
  </w:abstractNum>
  <w:abstractNum w:abstractNumId="7">
    <w:lvl w:ilvl="0">
      <w:start w:val="2"/>
      <w:numFmt w:val="decimal"/>
      <w:lvlText w:val="%1"/>
      <w:lvlJc w:val="start"/>
      <w:pPr>
        <w:tabs>
          <w:tab w:val="num" w:pos="435"/>
        </w:tabs>
        <w:ind w:start="435" w:hanging="435"/>
      </w:pPr>
      <w:rPr/>
    </w:lvl>
    <w:lvl w:ilvl="1">
      <w:start w:val="11"/>
      <w:numFmt w:val="decimal"/>
      <w:lvlText w:val="%1.%2"/>
      <w:lvlJc w:val="start"/>
      <w:pPr>
        <w:tabs>
          <w:tab w:val="num" w:pos="1065"/>
        </w:tabs>
        <w:ind w:start="1065" w:hanging="435"/>
      </w:pPr>
      <w:rPr/>
    </w:lvl>
    <w:lvl w:ilvl="2">
      <w:start w:val="1"/>
      <w:numFmt w:val="decimal"/>
      <w:lvlText w:val="%1.%2.%3"/>
      <w:lvlJc w:val="start"/>
      <w:pPr>
        <w:tabs>
          <w:tab w:val="num" w:pos="1980"/>
        </w:tabs>
        <w:ind w:start="1980" w:hanging="720"/>
      </w:pPr>
      <w:rPr/>
    </w:lvl>
    <w:lvl w:ilvl="3">
      <w:start w:val="1"/>
      <w:numFmt w:val="decimal"/>
      <w:lvlText w:val="%1.%2.%3.%4"/>
      <w:lvlJc w:val="start"/>
      <w:pPr>
        <w:tabs>
          <w:tab w:val="num" w:pos="2610"/>
        </w:tabs>
        <w:ind w:start="2610" w:hanging="720"/>
      </w:pPr>
      <w:rPr/>
    </w:lvl>
    <w:lvl w:ilvl="4">
      <w:start w:val="1"/>
      <w:numFmt w:val="decimal"/>
      <w:lvlText w:val="%1.%2.%3.%4.%5"/>
      <w:lvlJc w:val="start"/>
      <w:pPr>
        <w:tabs>
          <w:tab w:val="num" w:pos="3240"/>
        </w:tabs>
        <w:ind w:start="3240" w:hanging="720"/>
      </w:pPr>
      <w:rPr/>
    </w:lvl>
    <w:lvl w:ilvl="5">
      <w:start w:val="1"/>
      <w:numFmt w:val="decimal"/>
      <w:lvlText w:val="%1.%2.%3.%4.%5.%6"/>
      <w:lvlJc w:val="start"/>
      <w:pPr>
        <w:tabs>
          <w:tab w:val="num" w:pos="4230"/>
        </w:tabs>
        <w:ind w:start="4230" w:hanging="1080"/>
      </w:pPr>
      <w:rPr/>
    </w:lvl>
    <w:lvl w:ilvl="6">
      <w:start w:val="1"/>
      <w:numFmt w:val="decimal"/>
      <w:lvlText w:val="%1.%2.%3.%4.%5.%6.%7"/>
      <w:lvlJc w:val="start"/>
      <w:pPr>
        <w:tabs>
          <w:tab w:val="num" w:pos="4860"/>
        </w:tabs>
        <w:ind w:start="4860" w:hanging="1080"/>
      </w:pPr>
      <w:rPr/>
    </w:lvl>
    <w:lvl w:ilvl="7">
      <w:start w:val="1"/>
      <w:numFmt w:val="decimal"/>
      <w:lvlText w:val="%1.%2.%3.%4.%5.%6.%7.%8"/>
      <w:lvlJc w:val="start"/>
      <w:pPr>
        <w:tabs>
          <w:tab w:val="num" w:pos="5850"/>
        </w:tabs>
        <w:ind w:start="5850" w:hanging="1440"/>
      </w:pPr>
      <w:rPr/>
    </w:lvl>
    <w:lvl w:ilvl="8">
      <w:start w:val="1"/>
      <w:numFmt w:val="decimal"/>
      <w:lvlText w:val="%1.%2.%3.%4.%5.%6.%7.%8.%9"/>
      <w:lvlJc w:val="start"/>
      <w:pPr>
        <w:tabs>
          <w:tab w:val="num" w:pos="6480"/>
        </w:tabs>
        <w:ind w:start="6480" w:hanging="1440"/>
      </w:pPr>
      <w:rPr/>
    </w:lvl>
  </w:abstractNum>
  <w:abstractNum w:abstractNumId="8">
    <w:lvl w:ilvl="0">
      <w:start w:val="2"/>
      <w:numFmt w:val="decimal"/>
      <w:lvlText w:val="%1"/>
      <w:lvlJc w:val="start"/>
      <w:pPr>
        <w:tabs>
          <w:tab w:val="num" w:pos="540"/>
        </w:tabs>
        <w:ind w:start="540" w:hanging="540"/>
      </w:pPr>
      <w:rPr/>
    </w:lvl>
    <w:lvl w:ilvl="1">
      <w:start w:val="212"/>
      <w:numFmt w:val="decimal"/>
      <w:lvlText w:val="%1.%2"/>
      <w:lvlJc w:val="start"/>
      <w:pPr>
        <w:tabs>
          <w:tab w:val="num" w:pos="1710"/>
        </w:tabs>
        <w:ind w:start="1710" w:hanging="540"/>
      </w:pPr>
      <w:rPr/>
    </w:lvl>
    <w:lvl w:ilvl="2">
      <w:start w:val="1"/>
      <w:numFmt w:val="decimal"/>
      <w:lvlText w:val="%1.%2.%3"/>
      <w:lvlJc w:val="start"/>
      <w:pPr>
        <w:tabs>
          <w:tab w:val="num" w:pos="3060"/>
        </w:tabs>
        <w:ind w:start="3060" w:hanging="720"/>
      </w:pPr>
      <w:rPr/>
    </w:lvl>
    <w:lvl w:ilvl="3">
      <w:start w:val="1"/>
      <w:numFmt w:val="decimal"/>
      <w:lvlText w:val="%1.%2.%3.%4"/>
      <w:lvlJc w:val="start"/>
      <w:pPr>
        <w:tabs>
          <w:tab w:val="num" w:pos="4230"/>
        </w:tabs>
        <w:ind w:start="4230" w:hanging="720"/>
      </w:pPr>
      <w:rPr/>
    </w:lvl>
    <w:lvl w:ilvl="4">
      <w:start w:val="1"/>
      <w:numFmt w:val="decimal"/>
      <w:lvlText w:val="%1.%2.%3.%4.%5"/>
      <w:lvlJc w:val="start"/>
      <w:pPr>
        <w:tabs>
          <w:tab w:val="num" w:pos="5400"/>
        </w:tabs>
        <w:ind w:start="5400" w:hanging="720"/>
      </w:pPr>
      <w:rPr/>
    </w:lvl>
    <w:lvl w:ilvl="5">
      <w:start w:val="1"/>
      <w:numFmt w:val="decimal"/>
      <w:lvlText w:val="%1.%2.%3.%4.%5.%6"/>
      <w:lvlJc w:val="start"/>
      <w:pPr>
        <w:tabs>
          <w:tab w:val="num" w:pos="6930"/>
        </w:tabs>
        <w:ind w:start="6930" w:hanging="1080"/>
      </w:pPr>
      <w:rPr/>
    </w:lvl>
    <w:lvl w:ilvl="6">
      <w:start w:val="1"/>
      <w:numFmt w:val="decimal"/>
      <w:lvlText w:val="%1.%2.%3.%4.%5.%6.%7"/>
      <w:lvlJc w:val="start"/>
      <w:pPr>
        <w:tabs>
          <w:tab w:val="num" w:pos="8100"/>
        </w:tabs>
        <w:ind w:start="8100" w:hanging="1080"/>
      </w:pPr>
      <w:rPr/>
    </w:lvl>
    <w:lvl w:ilvl="7">
      <w:start w:val="1"/>
      <w:numFmt w:val="decimal"/>
      <w:lvlText w:val="%1.%2.%3.%4.%5.%6.%7.%8"/>
      <w:lvlJc w:val="start"/>
      <w:pPr>
        <w:tabs>
          <w:tab w:val="num" w:pos="9630"/>
        </w:tabs>
        <w:ind w:start="9630" w:hanging="1440"/>
      </w:pPr>
      <w:rPr/>
    </w:lvl>
    <w:lvl w:ilvl="8">
      <w:start w:val="1"/>
      <w:numFmt w:val="decimal"/>
      <w:lvlText w:val="%1.%2.%3.%4.%5.%6.%7.%8.%9"/>
      <w:lvlJc w:val="start"/>
      <w:pPr>
        <w:tabs>
          <w:tab w:val="num" w:pos="10800"/>
        </w:tabs>
        <w:ind w:start="1080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0"/>
        <w:numId w:val="4"/>
      </w:numPr>
      <w:outlineLvl w:val="1"/>
    </w:pPr>
    <w:rPr>
      <w:b/>
    </w:rPr>
  </w:style>
  <w:style w:type="paragraph" w:styleId="Heading3">
    <w:name w:val="heading 3"/>
    <w:basedOn w:val="Normal"/>
    <w:next w:val="Normal"/>
    <w:qFormat/>
    <w:pPr>
      <w:keepNext w:val="true"/>
      <w:numPr>
        <w:ilvl w:val="2"/>
        <w:numId w:val="1"/>
      </w:numPr>
      <w:outlineLvl w:val="2"/>
    </w:pPr>
    <w:rPr>
      <w:u w:val="single"/>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260" w:start="1980" w:end="0"/>
    </w:pPr>
    <w:rPr/>
  </w:style>
  <w:style w:type="paragraph" w:styleId="BodyTextIndent2">
    <w:name w:val="Body Text Indent 2"/>
    <w:basedOn w:val="Normal"/>
    <w:qFormat/>
    <w:pPr>
      <w:tabs>
        <w:tab w:val="left" w:pos="720" w:leader="none"/>
      </w:tabs>
      <w:ind w:hanging="360" w:start="720" w:end="0"/>
    </w:pPr>
    <w:rPr/>
  </w:style>
  <w:style w:type="paragraph" w:styleId="BodyTextIndent3">
    <w:name w:val="Body Text Indent 3"/>
    <w:basedOn w:val="Normal"/>
    <w:qFormat/>
    <w:pPr>
      <w:keepLines/>
      <w:spacing w:lineRule="atLeast" w:line="240"/>
      <w:ind w:hanging="540" w:start="171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2001-01-08T20:25:00Z</dcterms:created>
  <dc:creator>xi_xi</dc:creator>
  <dc:description/>
  <dc:language>en-CA</dc:language>
  <cp:lastModifiedBy>xi_xi</cp:lastModifiedBy>
  <cp:lastPrinted>2001-01-08T16:30:00Z</cp:lastPrinted>
  <dcterms:modified xsi:type="dcterms:W3CDTF">2001-01-08T20:25:00Z</dcterms:modified>
  <cp:revision>2</cp:revision>
  <dc:subject/>
  <dc:title>Japanese Government Regulatory Profile: Telecommunication and IT</dc:title>
</cp:coreProperties>
</file>