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Silver Oak II</w:t>
            </w:r>
          </w:p>
          <w:p>
            <w:pPr>
              <w:pStyle w:val="Normal"/>
              <w:ind w:end="792"/>
              <w:rPr/>
            </w:pPr>
            <w:r>
              <w:rPr/>
              <w:t>Counterparty:  FuelCell Energy, Inc.</w:t>
            </w:r>
          </w:p>
          <w:p>
            <w:pPr>
              <w:pStyle w:val="Normal"/>
              <w:rPr/>
            </w:pPr>
            <w:r>
              <w:rPr/>
              <w:t xml:space="preserve">Business Unit:  </w:t>
            </w:r>
          </w:p>
          <w:p>
            <w:pPr>
              <w:pStyle w:val="Normal"/>
              <w:rPr/>
            </w:pPr>
            <w:r>
              <w:rPr/>
              <w:t xml:space="preserve">Business Unit Originator:  </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 xml:space="preserve">RAC Analyst:  </w:t>
            </w:r>
          </w:p>
          <w:p>
            <w:pPr>
              <w:pStyle w:val="Normal"/>
              <w:ind w:firstLine="90" w:start="-198" w:end="-738"/>
              <w:rPr/>
            </w:pPr>
            <w:r>
              <w:rPr/>
              <w:t>Investment Type:  Equity with Contingent Warrants</w:t>
            </w:r>
          </w:p>
          <w:p>
            <w:pPr>
              <w:pStyle w:val="Normal"/>
              <w:ind w:firstLine="90" w:start="-198" w:end="-738"/>
              <w:rPr/>
            </w:pPr>
            <w:r>
              <w:rPr/>
              <w:t xml:space="preserve">Capital Funding Source(s):  </w:t>
            </w:r>
          </w:p>
          <w:p>
            <w:pPr>
              <w:pStyle w:val="Normal"/>
              <w:ind w:firstLine="90" w:start="-198" w:end="-738"/>
              <w:rPr/>
            </w:pPr>
            <w:r>
              <w:rPr/>
              <w:t xml:space="preserve">Expected Closing Date:  </w:t>
            </w:r>
          </w:p>
          <w:p>
            <w:pPr>
              <w:pStyle w:val="Normal"/>
              <w:ind w:firstLine="90" w:start="-198" w:end="-738"/>
              <w:rPr/>
            </w:pPr>
            <w:r>
              <w:rPr/>
              <w:t xml:space="preserve">Expected Funding Date:  </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$5,000,000</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w:t>
      </w:r>
    </w:p>
    <w:p>
      <w:pPr>
        <w:pStyle w:val="Normal"/>
        <w:ind w:start="360" w:end="0"/>
        <w:rPr/>
      </w:pPr>
      <w:r>
        <w:rPr/>
        <w:t>Total</w:t>
        <w:tab/>
        <w:tab/>
        <w:tab/>
        <w:t>$</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FuelCell Energy, Inc. (NASDAQ listed “FCEL”), based out of Danbury, Connecticut, is a developer of electrochemical technologies for electric power generation and has developed a proprietary patented fuel cell known as the Direct FuelCell.  A fuel cell is a device that electrochemically converts fuel (hydrogen, which may be in the form of fossil fuels such as natural gas) into electricity without combustion.  FCEL’s fuel cell has advantages over other fuel cell manufacturers in terms of fuel efficiency and cost for stationary power generation.  FCEL has products targeting the 1 to 40 MW installation.</w:t>
      </w:r>
    </w:p>
    <w:p>
      <w:pPr>
        <w:pStyle w:val="Normal"/>
        <w:rPr/>
      </w:pPr>
      <w:r>
        <w:rPr/>
      </w:r>
    </w:p>
    <w:p>
      <w:pPr>
        <w:pStyle w:val="Normal"/>
        <w:rPr/>
      </w:pPr>
      <w:r>
        <w:rPr/>
        <w:t>ENA and FCEL are contemplating a non-exclusive strategic alliance governing the development of FCEL products in fuel cell farms towards state renewable energy and energy conservation programs.  Upon entering into the strategic alliance, ENA will purchase $5,000,000 worth of common stock from FCEL at a price equal to the average of the last 30 days closing share price subject to normal antidilution adjustments (“Par”). There will be a six month restriction on the resale of these shares.</w:t>
      </w:r>
    </w:p>
    <w:p>
      <w:pPr>
        <w:pStyle w:val="Normal"/>
        <w:rPr/>
      </w:pPr>
      <w:r>
        <w:rPr/>
      </w:r>
    </w:p>
    <w:p>
      <w:pPr>
        <w:pStyle w:val="Normal"/>
        <w:rPr/>
      </w:pPr>
      <w:r>
        <w:rPr/>
        <w:t xml:space="preserve">The 30-day average as of September 25, 2000 was $62.274 per share.  The closing price as of September 26, 2000 was $99.313.  FCEL has agreed to lock-in the 30-day average price as of September 25, 2000, provided this deal closes and is announced by September 29,2000 (Friday). </w:t>
      </w:r>
    </w:p>
    <w:p>
      <w:pPr>
        <w:pStyle w:val="Normal"/>
        <w:rPr/>
      </w:pPr>
      <w:r>
        <w:rPr/>
      </w:r>
    </w:p>
    <w:tbl>
      <w:tblPr>
        <w:tblW w:w="7920" w:type="dxa"/>
        <w:jc w:val="start"/>
        <w:tblInd w:w="0" w:type="dxa"/>
        <w:tblLayout w:type="fixed"/>
        <w:tblCellMar>
          <w:top w:w="0" w:type="dxa"/>
          <w:start w:w="108" w:type="dxa"/>
          <w:bottom w:w="0" w:type="dxa"/>
          <w:end w:w="108" w:type="dxa"/>
        </w:tblCellMar>
      </w:tblPr>
      <w:tblGrid>
        <w:gridCol w:w="3600"/>
        <w:gridCol w:w="2160"/>
        <w:gridCol w:w="2160"/>
      </w:tblGrid>
      <w:tr>
        <w:trPr/>
        <w:tc>
          <w:tcPr>
            <w:tcW w:w="3600" w:type="dxa"/>
            <w:tcBorders>
              <w:top w:val="single" w:sz="4" w:space="0" w:color="000000"/>
              <w:start w:val="single" w:sz="4" w:space="0" w:color="000000"/>
            </w:tcBorders>
          </w:tcPr>
          <w:p>
            <w:pPr>
              <w:pStyle w:val="Header"/>
              <w:widowControl/>
              <w:tabs>
                <w:tab w:val="clear" w:pos="4320"/>
                <w:tab w:val="clear" w:pos="8640"/>
              </w:tabs>
              <w:rPr/>
            </w:pPr>
            <w:r>
              <w:rPr/>
              <w:t>Equity Investment:</w:t>
            </w:r>
          </w:p>
        </w:tc>
        <w:tc>
          <w:tcPr>
            <w:tcW w:w="2160" w:type="dxa"/>
            <w:tcBorders>
              <w:top w:val="single" w:sz="4" w:space="0" w:color="000000"/>
            </w:tcBorders>
          </w:tcPr>
          <w:p>
            <w:pPr>
              <w:pStyle w:val="Header"/>
              <w:widowControl/>
              <w:tabs>
                <w:tab w:val="clear" w:pos="4320"/>
                <w:tab w:val="clear" w:pos="8640"/>
              </w:tabs>
              <w:jc w:val="center"/>
              <w:rPr/>
            </w:pPr>
            <w:r>
              <w:rPr/>
              <w:t>($5,000,000)</w:t>
            </w:r>
          </w:p>
        </w:tc>
        <w:tc>
          <w:tcPr>
            <w:tcW w:w="2160" w:type="dxa"/>
            <w:tcBorders>
              <w:top w:val="single" w:sz="4" w:space="0" w:color="000000"/>
              <w:end w:val="single" w:sz="4" w:space="0" w:color="000000"/>
            </w:tcBorders>
          </w:tcPr>
          <w:p>
            <w:pPr>
              <w:pStyle w:val="Header"/>
              <w:widowControl/>
              <w:tabs>
                <w:tab w:val="clear" w:pos="4320"/>
                <w:tab w:val="clear" w:pos="8640"/>
              </w:tabs>
              <w:rPr/>
            </w:pPr>
            <w:r>
              <w:rPr/>
              <w:t>For 80,290 shares</w:t>
            </w:r>
          </w:p>
        </w:tc>
      </w:tr>
      <w:tr>
        <w:trPr/>
        <w:tc>
          <w:tcPr>
            <w:tcW w:w="3600" w:type="dxa"/>
            <w:tcBorders>
              <w:start w:val="single" w:sz="4" w:space="0" w:color="000000"/>
            </w:tcBorders>
          </w:tcPr>
          <w:p>
            <w:pPr>
              <w:pStyle w:val="Header"/>
              <w:widowControl/>
              <w:tabs>
                <w:tab w:val="clear" w:pos="4320"/>
                <w:tab w:val="clear" w:pos="8640"/>
              </w:tabs>
              <w:rPr/>
            </w:pPr>
            <w:r>
              <w:rPr/>
              <w:t>Market Value of Shares based on 9/26/00 Closing Price:</w:t>
            </w:r>
          </w:p>
        </w:tc>
        <w:tc>
          <w:tcPr>
            <w:tcW w:w="2160" w:type="dxa"/>
            <w:tcBorders/>
          </w:tcPr>
          <w:p>
            <w:pPr>
              <w:pStyle w:val="Header"/>
              <w:widowControl/>
              <w:pBdr>
                <w:bottom w:val="single" w:sz="4" w:space="1" w:color="000000"/>
              </w:pBdr>
              <w:tabs>
                <w:tab w:val="clear" w:pos="4320"/>
                <w:tab w:val="clear" w:pos="8640"/>
              </w:tabs>
              <w:jc w:val="center"/>
              <w:rPr/>
            </w:pPr>
            <w:r>
              <w:rPr/>
              <w:br/>
              <w:t>$7,973,841</w:t>
            </w:r>
          </w:p>
        </w:tc>
        <w:tc>
          <w:tcPr>
            <w:tcW w:w="2160" w:type="dxa"/>
            <w:tcBorders>
              <w:end w:val="single" w:sz="4" w:space="0" w:color="000000"/>
            </w:tcBorders>
          </w:tcPr>
          <w:p>
            <w:pPr>
              <w:pStyle w:val="Header"/>
              <w:widowControl/>
              <w:tabs>
                <w:tab w:val="clear" w:pos="4320"/>
                <w:tab w:val="clear" w:pos="8640"/>
              </w:tabs>
              <w:snapToGrid w:val="false"/>
              <w:rPr/>
            </w:pPr>
            <w:r>
              <w:rPr/>
            </w:r>
          </w:p>
        </w:tc>
      </w:tr>
      <w:tr>
        <w:trPr/>
        <w:tc>
          <w:tcPr>
            <w:tcW w:w="3600" w:type="dxa"/>
            <w:tcBorders>
              <w:start w:val="single" w:sz="4" w:space="0" w:color="000000"/>
              <w:bottom w:val="single" w:sz="4" w:space="0" w:color="000000"/>
            </w:tcBorders>
          </w:tcPr>
          <w:p>
            <w:pPr>
              <w:pStyle w:val="Header"/>
              <w:widowControl/>
              <w:tabs>
                <w:tab w:val="clear" w:pos="4320"/>
                <w:tab w:val="clear" w:pos="8640"/>
              </w:tabs>
              <w:rPr/>
            </w:pPr>
            <w:r>
              <w:rPr/>
              <w:t>Net Value of Investment:</w:t>
            </w:r>
          </w:p>
        </w:tc>
        <w:tc>
          <w:tcPr>
            <w:tcW w:w="2160" w:type="dxa"/>
            <w:tcBorders>
              <w:bottom w:val="single" w:sz="4" w:space="0" w:color="000000"/>
            </w:tcBorders>
          </w:tcPr>
          <w:p>
            <w:pPr>
              <w:pStyle w:val="Header"/>
              <w:widowControl/>
              <w:tabs>
                <w:tab w:val="clear" w:pos="4320"/>
                <w:tab w:val="clear" w:pos="8640"/>
              </w:tabs>
              <w:jc w:val="center"/>
              <w:rPr>
                <w:b/>
              </w:rPr>
            </w:pPr>
            <w:r>
              <w:rPr>
                <w:b/>
              </w:rPr>
              <w:t>$2,973,841</w:t>
            </w:r>
          </w:p>
        </w:tc>
        <w:tc>
          <w:tcPr>
            <w:tcW w:w="2160" w:type="dxa"/>
            <w:tcBorders>
              <w:bottom w:val="single" w:sz="4" w:space="0" w:color="000000"/>
              <w:end w:val="single" w:sz="4" w:space="0" w:color="000000"/>
            </w:tcBorders>
          </w:tcPr>
          <w:p>
            <w:pPr>
              <w:pStyle w:val="Header"/>
              <w:widowControl/>
              <w:tabs>
                <w:tab w:val="clear" w:pos="4320"/>
                <w:tab w:val="clear" w:pos="8640"/>
              </w:tabs>
              <w:snapToGrid w:val="false"/>
              <w:rPr>
                <w:b/>
              </w:rPr>
            </w:pPr>
            <w:r>
              <w:rPr>
                <w:b/>
              </w:rPr>
            </w:r>
          </w:p>
        </w:tc>
      </w:tr>
    </w:tbl>
    <w:p>
      <w:pPr>
        <w:pStyle w:val="Header"/>
        <w:widowControl/>
        <w:tabs>
          <w:tab w:val="clear" w:pos="4320"/>
          <w:tab w:val="clear" w:pos="8640"/>
        </w:tabs>
        <w:rPr/>
      </w:pPr>
      <w:r>
        <w:rPr/>
      </w:r>
    </w:p>
    <w:p>
      <w:pPr>
        <w:pStyle w:val="Normal"/>
        <w:rPr/>
      </w:pPr>
      <w:r>
        <w:rPr/>
        <w:t>Concurrent with the stock purchase, FCEL will issue to ENA warrants exercisable for 1,300,000 shares of common stock of FCEL.  The warrants will be structured in a series of tranches priced at Par plus the following premium over Par.</w:t>
      </w:r>
    </w:p>
    <w:p>
      <w:pPr>
        <w:pStyle w:val="Normal"/>
        <w:rPr/>
      </w:pPr>
      <w:r>
        <w:rPr/>
      </w:r>
    </w:p>
    <w:tbl>
      <w:tblPr>
        <w:tblW w:w="8784" w:type="dxa"/>
        <w:jc w:val="start"/>
        <w:tblInd w:w="0" w:type="dxa"/>
        <w:tblLayout w:type="fixed"/>
        <w:tblCellMar>
          <w:top w:w="0" w:type="dxa"/>
          <w:start w:w="108" w:type="dxa"/>
          <w:bottom w:w="0" w:type="dxa"/>
          <w:end w:w="108" w:type="dxa"/>
        </w:tblCellMar>
      </w:tblPr>
      <w:tblGrid>
        <w:gridCol w:w="2160"/>
        <w:gridCol w:w="2160"/>
        <w:gridCol w:w="2160"/>
        <w:gridCol w:w="2304"/>
      </w:tblGrid>
      <w:tr>
        <w:trPr/>
        <w:tc>
          <w:tcPr>
            <w:tcW w:w="2160" w:type="dxa"/>
            <w:tcBorders/>
          </w:tcPr>
          <w:p>
            <w:pPr>
              <w:pStyle w:val="Normal"/>
              <w:pBdr>
                <w:bottom w:val="single" w:sz="4" w:space="1" w:color="000000"/>
              </w:pBdr>
              <w:jc w:val="center"/>
              <w:rPr>
                <w:b/>
              </w:rPr>
            </w:pPr>
            <w:r>
              <w:rPr>
                <w:b/>
              </w:rPr>
              <w:br/>
              <w:t>Number of Warrants</w:t>
            </w:r>
          </w:p>
        </w:tc>
        <w:tc>
          <w:tcPr>
            <w:tcW w:w="2160" w:type="dxa"/>
            <w:tcBorders/>
          </w:tcPr>
          <w:p>
            <w:pPr>
              <w:pStyle w:val="Normal"/>
              <w:pBdr>
                <w:bottom w:val="single" w:sz="4" w:space="1" w:color="000000"/>
              </w:pBdr>
              <w:jc w:val="center"/>
              <w:rPr>
                <w:b/>
              </w:rPr>
            </w:pPr>
            <w:r>
              <w:rPr>
                <w:b/>
              </w:rPr>
              <w:br/>
              <w:t>Premium over Par</w:t>
            </w:r>
          </w:p>
        </w:tc>
        <w:tc>
          <w:tcPr>
            <w:tcW w:w="2160" w:type="dxa"/>
            <w:tcBorders/>
          </w:tcPr>
          <w:p>
            <w:pPr>
              <w:pStyle w:val="Normal"/>
              <w:pBdr>
                <w:bottom w:val="single" w:sz="4" w:space="1" w:color="000000"/>
              </w:pBdr>
              <w:jc w:val="center"/>
              <w:rPr>
                <w:b/>
              </w:rPr>
            </w:pPr>
            <w:r>
              <w:rPr>
                <w:b/>
              </w:rPr>
              <w:t xml:space="preserve">Strike Price </w:t>
              <w:br/>
              <w:t>(as of 9/25/2000)</w:t>
            </w:r>
          </w:p>
        </w:tc>
        <w:tc>
          <w:tcPr>
            <w:tcW w:w="2304" w:type="dxa"/>
            <w:tcBorders/>
          </w:tcPr>
          <w:p>
            <w:pPr>
              <w:pStyle w:val="Normal"/>
              <w:pBdr>
                <w:bottom w:val="single" w:sz="4" w:space="1" w:color="000000"/>
              </w:pBdr>
              <w:jc w:val="center"/>
              <w:rPr>
                <w:b/>
              </w:rPr>
            </w:pPr>
            <w:r>
              <w:rPr>
                <w:b/>
              </w:rPr>
              <w:br/>
              <w:t>Value as of 9/26/2000</w:t>
            </w:r>
          </w:p>
        </w:tc>
      </w:tr>
      <w:tr>
        <w:trPr/>
        <w:tc>
          <w:tcPr>
            <w:tcW w:w="2160" w:type="dxa"/>
            <w:tcBorders/>
          </w:tcPr>
          <w:p>
            <w:pPr>
              <w:pStyle w:val="Normal"/>
              <w:jc w:val="center"/>
              <w:rPr/>
            </w:pPr>
            <w:r>
              <w:rPr/>
              <w:t>650,000</w:t>
            </w:r>
          </w:p>
        </w:tc>
        <w:tc>
          <w:tcPr>
            <w:tcW w:w="2160" w:type="dxa"/>
            <w:tcBorders/>
          </w:tcPr>
          <w:p>
            <w:pPr>
              <w:pStyle w:val="Normal"/>
              <w:jc w:val="center"/>
              <w:rPr/>
            </w:pPr>
            <w:r>
              <w:rPr/>
              <w:t>0%</w:t>
            </w:r>
          </w:p>
        </w:tc>
        <w:tc>
          <w:tcPr>
            <w:tcW w:w="2160" w:type="dxa"/>
            <w:tcBorders/>
          </w:tcPr>
          <w:p>
            <w:pPr>
              <w:pStyle w:val="Normal"/>
              <w:jc w:val="center"/>
              <w:rPr/>
            </w:pPr>
            <w:r>
              <w:rPr/>
              <w:t>$62.274</w:t>
            </w:r>
          </w:p>
        </w:tc>
        <w:tc>
          <w:tcPr>
            <w:tcW w:w="2304" w:type="dxa"/>
            <w:tcBorders/>
          </w:tcPr>
          <w:p>
            <w:pPr>
              <w:pStyle w:val="Normal"/>
              <w:jc w:val="center"/>
              <w:rPr/>
            </w:pPr>
            <w:r>
              <w:rPr/>
              <w:t>$24,074,882</w:t>
            </w:r>
          </w:p>
        </w:tc>
      </w:tr>
      <w:tr>
        <w:trPr/>
        <w:tc>
          <w:tcPr>
            <w:tcW w:w="2160" w:type="dxa"/>
            <w:tcBorders/>
          </w:tcPr>
          <w:p>
            <w:pPr>
              <w:pStyle w:val="Normal"/>
              <w:jc w:val="center"/>
              <w:rPr/>
            </w:pPr>
            <w:r>
              <w:rPr/>
              <w:t>250,000</w:t>
            </w:r>
          </w:p>
        </w:tc>
        <w:tc>
          <w:tcPr>
            <w:tcW w:w="2160" w:type="dxa"/>
            <w:tcBorders/>
          </w:tcPr>
          <w:p>
            <w:pPr>
              <w:pStyle w:val="Normal"/>
              <w:jc w:val="center"/>
              <w:rPr/>
            </w:pPr>
            <w:r>
              <w:rPr/>
              <w:t>10%</w:t>
            </w:r>
          </w:p>
        </w:tc>
        <w:tc>
          <w:tcPr>
            <w:tcW w:w="2160" w:type="dxa"/>
            <w:tcBorders/>
          </w:tcPr>
          <w:p>
            <w:pPr>
              <w:pStyle w:val="Normal"/>
              <w:jc w:val="center"/>
              <w:rPr/>
            </w:pPr>
            <w:r>
              <w:rPr/>
              <w:t>$68.502</w:t>
            </w:r>
          </w:p>
        </w:tc>
        <w:tc>
          <w:tcPr>
            <w:tcW w:w="2304" w:type="dxa"/>
            <w:tcBorders/>
          </w:tcPr>
          <w:p>
            <w:pPr>
              <w:pStyle w:val="Normal"/>
              <w:jc w:val="center"/>
              <w:rPr/>
            </w:pPr>
            <w:r>
              <w:rPr/>
              <w:t>$7,702,715</w:t>
            </w:r>
          </w:p>
        </w:tc>
      </w:tr>
      <w:tr>
        <w:trPr/>
        <w:tc>
          <w:tcPr>
            <w:tcW w:w="2160" w:type="dxa"/>
            <w:tcBorders/>
          </w:tcPr>
          <w:p>
            <w:pPr>
              <w:pStyle w:val="Normal"/>
              <w:jc w:val="center"/>
              <w:rPr/>
            </w:pPr>
            <w:r>
              <w:rPr/>
              <w:t>200,000</w:t>
            </w:r>
          </w:p>
        </w:tc>
        <w:tc>
          <w:tcPr>
            <w:tcW w:w="2160" w:type="dxa"/>
            <w:tcBorders/>
          </w:tcPr>
          <w:p>
            <w:pPr>
              <w:pStyle w:val="Normal"/>
              <w:jc w:val="center"/>
              <w:rPr/>
            </w:pPr>
            <w:r>
              <w:rPr/>
              <w:t>20%</w:t>
            </w:r>
          </w:p>
        </w:tc>
        <w:tc>
          <w:tcPr>
            <w:tcW w:w="2160" w:type="dxa"/>
            <w:tcBorders/>
          </w:tcPr>
          <w:p>
            <w:pPr>
              <w:pStyle w:val="Normal"/>
              <w:jc w:val="center"/>
              <w:rPr/>
            </w:pPr>
            <w:r>
              <w:rPr/>
              <w:t>$74.729</w:t>
            </w:r>
          </w:p>
        </w:tc>
        <w:tc>
          <w:tcPr>
            <w:tcW w:w="2304" w:type="dxa"/>
            <w:tcBorders/>
          </w:tcPr>
          <w:p>
            <w:pPr>
              <w:pStyle w:val="Normal"/>
              <w:jc w:val="center"/>
              <w:rPr/>
            </w:pPr>
            <w:r>
              <w:rPr/>
              <w:t>$4,916,687</w:t>
            </w:r>
          </w:p>
        </w:tc>
      </w:tr>
      <w:tr>
        <w:trPr/>
        <w:tc>
          <w:tcPr>
            <w:tcW w:w="2160" w:type="dxa"/>
            <w:tcBorders/>
          </w:tcPr>
          <w:p>
            <w:pPr>
              <w:pStyle w:val="Normal"/>
              <w:jc w:val="center"/>
              <w:rPr/>
            </w:pPr>
            <w:r>
              <w:rPr/>
              <w:t>200,000</w:t>
            </w:r>
          </w:p>
        </w:tc>
        <w:tc>
          <w:tcPr>
            <w:tcW w:w="2160" w:type="dxa"/>
            <w:tcBorders/>
          </w:tcPr>
          <w:p>
            <w:pPr>
              <w:pStyle w:val="Normal"/>
              <w:jc w:val="center"/>
              <w:rPr/>
            </w:pPr>
            <w:r>
              <w:rPr/>
              <w:t>30%</w:t>
            </w:r>
          </w:p>
        </w:tc>
        <w:tc>
          <w:tcPr>
            <w:tcW w:w="2160" w:type="dxa"/>
            <w:tcBorders/>
          </w:tcPr>
          <w:p>
            <w:pPr>
              <w:pStyle w:val="Normal"/>
              <w:jc w:val="center"/>
              <w:rPr/>
            </w:pPr>
            <w:r>
              <w:rPr/>
              <w:t>$80.956</w:t>
            </w:r>
          </w:p>
        </w:tc>
        <w:tc>
          <w:tcPr>
            <w:tcW w:w="2304" w:type="dxa"/>
            <w:tcBorders/>
          </w:tcPr>
          <w:p>
            <w:pPr>
              <w:pStyle w:val="Normal"/>
              <w:pBdr>
                <w:bottom w:val="single" w:sz="4" w:space="1" w:color="000000"/>
              </w:pBdr>
              <w:jc w:val="center"/>
              <w:rPr/>
            </w:pPr>
            <w:r>
              <w:rPr/>
              <w:t>$3,671,203</w:t>
            </w:r>
          </w:p>
        </w:tc>
      </w:tr>
      <w:tr>
        <w:trPr/>
        <w:tc>
          <w:tcPr>
            <w:tcW w:w="2160" w:type="dxa"/>
            <w:tcBorders/>
          </w:tcPr>
          <w:p>
            <w:pPr>
              <w:pStyle w:val="Normal"/>
              <w:snapToGrid w:val="false"/>
              <w:jc w:val="center"/>
              <w:rPr/>
            </w:pPr>
            <w:r>
              <w:rPr/>
            </w:r>
          </w:p>
        </w:tc>
        <w:tc>
          <w:tcPr>
            <w:tcW w:w="2160" w:type="dxa"/>
            <w:tcBorders/>
          </w:tcPr>
          <w:p>
            <w:pPr>
              <w:pStyle w:val="Normal"/>
              <w:snapToGrid w:val="false"/>
              <w:jc w:val="center"/>
              <w:rPr/>
            </w:pPr>
            <w:r>
              <w:rPr/>
            </w:r>
          </w:p>
        </w:tc>
        <w:tc>
          <w:tcPr>
            <w:tcW w:w="2160" w:type="dxa"/>
            <w:tcBorders/>
          </w:tcPr>
          <w:p>
            <w:pPr>
              <w:pStyle w:val="Normal"/>
              <w:snapToGrid w:val="false"/>
              <w:jc w:val="center"/>
              <w:rPr/>
            </w:pPr>
            <w:r>
              <w:rPr/>
            </w:r>
          </w:p>
        </w:tc>
        <w:tc>
          <w:tcPr>
            <w:tcW w:w="2304" w:type="dxa"/>
            <w:tcBorders/>
          </w:tcPr>
          <w:p>
            <w:pPr>
              <w:pStyle w:val="Normal"/>
              <w:jc w:val="center"/>
              <w:rPr>
                <w:b/>
              </w:rPr>
            </w:pPr>
            <w:r>
              <w:rPr>
                <w:b/>
              </w:rPr>
              <w:t>$40,365,487</w:t>
            </w:r>
          </w:p>
        </w:tc>
      </w:tr>
    </w:tbl>
    <w:p>
      <w:pPr>
        <w:pStyle w:val="Header"/>
        <w:widowControl/>
        <w:tabs>
          <w:tab w:val="clear" w:pos="4320"/>
          <w:tab w:val="clear" w:pos="8640"/>
        </w:tabs>
        <w:rPr/>
      </w:pPr>
      <w:r>
        <w:rPr/>
      </w:r>
    </w:p>
    <w:p>
      <w:pPr>
        <w:pStyle w:val="Normal"/>
        <w:rPr/>
      </w:pPr>
      <w:r>
        <w:rPr/>
        <w:t>Vesting of the warrants issued to ENA is subject to the condition that ENA or an affiliate shall directly or indirectly cause orders to be placed for 55 MW of FCEL’s fuel cell products within two years.  In addition, ENA must cause orders for at least 15 MW of the total 55 MW before the first anniversary of the date of issuance or ENA will forfeit 40% of the warrants (520,000 warrants).</w:t>
      </w:r>
    </w:p>
    <w:p>
      <w:pPr>
        <w:pStyle w:val="Normal"/>
        <w:rPr/>
      </w:pPr>
      <w:r>
        <w:rPr/>
      </w:r>
    </w:p>
    <w:p>
      <w:pPr>
        <w:pStyle w:val="Normal"/>
        <w:rPr/>
      </w:pPr>
      <w:r>
        <w:rPr/>
        <w:t xml:space="preserve">[FCEL’s incentive in entering into this transaction is based on FCEL’s belief that ENA is the premier energy services and supply company with broad distribution channels capable of placing FCEL products.  FCEL also believes that ENA has a strong regulatory and political presence in Connecticut and the Northeast due to their knowledge of the UI transaction. </w:t>
      </w:r>
      <w:r>
        <w:rPr>
          <w:b/>
        </w:rPr>
        <w:t>– Jeff and Janet, what do you think about this addition?</w:t>
      </w:r>
      <w:r>
        <w:rPr/>
        <w:t>]</w:t>
      </w:r>
    </w:p>
    <w:p>
      <w:pPr>
        <w:pStyle w:val="Normal"/>
        <w:rPr/>
      </w:pPr>
      <w:r>
        <w:rPr/>
      </w:r>
    </w:p>
    <w:p>
      <w:pPr>
        <w:pStyle w:val="Normal"/>
        <w:rPr/>
      </w:pPr>
      <w:r>
        <w:rPr/>
        <w:t>If vested but not exercised, the warrants will expire two years from closing of this agreement.</w:t>
      </w:r>
    </w:p>
    <w:p>
      <w:pPr>
        <w:pStyle w:val="Normal"/>
        <w:rPr/>
      </w:pPr>
      <w:r>
        <w:rPr/>
      </w:r>
    </w:p>
    <w:p>
      <w:pPr>
        <w:pStyle w:val="Normal"/>
        <w:rPr/>
      </w:pPr>
      <w:r>
        <w:rPr/>
        <w:t>The fuel cells will be priced on a “not to exceed” number per kW based on size of order and timing listed below.  Prices may be lower based on market conditions at the time of the order, but will not be higher.</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1740"/>
        <w:gridCol w:w="1740"/>
        <w:gridCol w:w="1740"/>
        <w:gridCol w:w="1740"/>
        <w:gridCol w:w="1740"/>
        <w:gridCol w:w="1740"/>
      </w:tblGrid>
      <w:tr>
        <w:trPr/>
        <w:tc>
          <w:tcPr>
            <w:tcW w:w="1740" w:type="dxa"/>
            <w:tcBorders/>
          </w:tcPr>
          <w:p>
            <w:pPr>
              <w:pStyle w:val="Heading1"/>
              <w:ind w:hanging="0" w:start="0"/>
              <w:rPr/>
            </w:pPr>
            <w:r>
              <w:rPr/>
              <w:t>Cost per kW</w:t>
            </w:r>
          </w:p>
        </w:tc>
        <w:tc>
          <w:tcPr>
            <w:tcW w:w="8700" w:type="dxa"/>
            <w:gridSpan w:val="5"/>
            <w:tcBorders/>
          </w:tcPr>
          <w:p>
            <w:pPr>
              <w:pStyle w:val="Heading6"/>
              <w:pBdr>
                <w:bottom w:val="single" w:sz="4" w:space="1" w:color="000000"/>
              </w:pBdr>
              <w:ind w:hanging="0" w:start="0"/>
              <w:rPr/>
            </w:pPr>
            <w:r>
              <w:rPr/>
              <w:t>MW Order</w:t>
            </w:r>
          </w:p>
        </w:tc>
      </w:tr>
      <w:tr>
        <w:trPr/>
        <w:tc>
          <w:tcPr>
            <w:tcW w:w="1740" w:type="dxa"/>
            <w:tcBorders/>
          </w:tcPr>
          <w:p>
            <w:pPr>
              <w:pStyle w:val="Normal"/>
              <w:snapToGrid w:val="false"/>
              <w:jc w:val="center"/>
              <w:rPr/>
            </w:pPr>
            <w:r>
              <w:rPr/>
            </w:r>
          </w:p>
        </w:tc>
        <w:tc>
          <w:tcPr>
            <w:tcW w:w="1740" w:type="dxa"/>
            <w:tcBorders/>
          </w:tcPr>
          <w:p>
            <w:pPr>
              <w:pStyle w:val="Normal"/>
              <w:pBdr>
                <w:bottom w:val="single" w:sz="4" w:space="1" w:color="000000"/>
              </w:pBdr>
              <w:jc w:val="center"/>
              <w:rPr/>
            </w:pPr>
            <w:r>
              <w:rPr/>
              <w:t>2 - 6</w:t>
            </w:r>
          </w:p>
        </w:tc>
        <w:tc>
          <w:tcPr>
            <w:tcW w:w="1740" w:type="dxa"/>
            <w:tcBorders/>
          </w:tcPr>
          <w:p>
            <w:pPr>
              <w:pStyle w:val="Normal"/>
              <w:pBdr>
                <w:bottom w:val="single" w:sz="4" w:space="1" w:color="000000"/>
              </w:pBdr>
              <w:jc w:val="center"/>
              <w:rPr/>
            </w:pPr>
            <w:r>
              <w:rPr/>
              <w:t>8 - 16</w:t>
            </w:r>
          </w:p>
        </w:tc>
        <w:tc>
          <w:tcPr>
            <w:tcW w:w="1740" w:type="dxa"/>
            <w:tcBorders/>
          </w:tcPr>
          <w:p>
            <w:pPr>
              <w:pStyle w:val="Normal"/>
              <w:pBdr>
                <w:bottom w:val="single" w:sz="4" w:space="1" w:color="000000"/>
              </w:pBdr>
              <w:jc w:val="center"/>
              <w:rPr/>
            </w:pPr>
            <w:r>
              <w:rPr/>
              <w:t>18 - 26</w:t>
            </w:r>
          </w:p>
        </w:tc>
        <w:tc>
          <w:tcPr>
            <w:tcW w:w="1740" w:type="dxa"/>
            <w:tcBorders/>
          </w:tcPr>
          <w:p>
            <w:pPr>
              <w:pStyle w:val="Normal"/>
              <w:pBdr>
                <w:bottom w:val="single" w:sz="4" w:space="1" w:color="000000"/>
              </w:pBdr>
              <w:jc w:val="center"/>
              <w:rPr/>
            </w:pPr>
            <w:r>
              <w:rPr/>
              <w:t>28 - 40</w:t>
            </w:r>
          </w:p>
        </w:tc>
        <w:tc>
          <w:tcPr>
            <w:tcW w:w="1740" w:type="dxa"/>
            <w:tcBorders/>
          </w:tcPr>
          <w:p>
            <w:pPr>
              <w:pStyle w:val="Normal"/>
              <w:pBdr>
                <w:bottom w:val="single" w:sz="4" w:space="1" w:color="000000"/>
              </w:pBdr>
              <w:jc w:val="center"/>
              <w:rPr/>
            </w:pPr>
            <w:r>
              <w:rPr/>
              <w:t>40 - 60</w:t>
            </w:r>
          </w:p>
        </w:tc>
      </w:tr>
      <w:tr>
        <w:trPr/>
        <w:tc>
          <w:tcPr>
            <w:tcW w:w="1740" w:type="dxa"/>
            <w:tcBorders/>
          </w:tcPr>
          <w:p>
            <w:pPr>
              <w:pStyle w:val="Normal"/>
              <w:rPr/>
            </w:pPr>
            <w:r>
              <w:rPr/>
              <w:t>1</w:t>
            </w:r>
            <w:r>
              <w:rPr>
                <w:vertAlign w:val="superscript"/>
              </w:rPr>
              <w:t>st</w:t>
            </w:r>
            <w:r>
              <w:rPr/>
              <w:t xml:space="preserve"> 12 Months</w:t>
            </w:r>
          </w:p>
        </w:tc>
        <w:tc>
          <w:tcPr>
            <w:tcW w:w="1740" w:type="dxa"/>
            <w:tcBorders/>
          </w:tcPr>
          <w:p>
            <w:pPr>
              <w:pStyle w:val="Normal"/>
              <w:jc w:val="center"/>
              <w:rPr/>
            </w:pPr>
            <w:r>
              <w:rPr/>
              <w:t>$4,000</w:t>
            </w:r>
          </w:p>
        </w:tc>
        <w:tc>
          <w:tcPr>
            <w:tcW w:w="1740" w:type="dxa"/>
            <w:tcBorders/>
          </w:tcPr>
          <w:p>
            <w:pPr>
              <w:pStyle w:val="Normal"/>
              <w:jc w:val="center"/>
              <w:rPr/>
            </w:pPr>
            <w:r>
              <w:rPr/>
              <w:t>$3,500</w:t>
            </w:r>
          </w:p>
        </w:tc>
        <w:tc>
          <w:tcPr>
            <w:tcW w:w="1740" w:type="dxa"/>
            <w:tcBorders/>
          </w:tcPr>
          <w:p>
            <w:pPr>
              <w:pStyle w:val="Normal"/>
              <w:jc w:val="center"/>
              <w:rPr/>
            </w:pPr>
            <w:r>
              <w:rPr/>
              <w:t>$3,200</w:t>
            </w:r>
          </w:p>
        </w:tc>
        <w:tc>
          <w:tcPr>
            <w:tcW w:w="1740" w:type="dxa"/>
            <w:tcBorders/>
          </w:tcPr>
          <w:p>
            <w:pPr>
              <w:pStyle w:val="Normal"/>
              <w:jc w:val="center"/>
              <w:rPr/>
            </w:pPr>
            <w:r>
              <w:rPr/>
              <w:t>$3,000</w:t>
            </w:r>
          </w:p>
        </w:tc>
        <w:tc>
          <w:tcPr>
            <w:tcW w:w="1740" w:type="dxa"/>
            <w:tcBorders/>
          </w:tcPr>
          <w:p>
            <w:pPr>
              <w:pStyle w:val="Normal"/>
              <w:jc w:val="center"/>
              <w:rPr/>
            </w:pPr>
            <w:r>
              <w:rPr/>
              <w:t>$2,800</w:t>
            </w:r>
          </w:p>
        </w:tc>
      </w:tr>
      <w:tr>
        <w:trPr/>
        <w:tc>
          <w:tcPr>
            <w:tcW w:w="1740" w:type="dxa"/>
            <w:tcBorders/>
          </w:tcPr>
          <w:p>
            <w:pPr>
              <w:pStyle w:val="Normal"/>
              <w:rPr/>
            </w:pPr>
            <w:r>
              <w:rPr/>
              <w:t>2</w:t>
            </w:r>
            <w:r>
              <w:rPr>
                <w:vertAlign w:val="superscript"/>
              </w:rPr>
              <w:t>nd</w:t>
            </w:r>
            <w:r>
              <w:rPr/>
              <w:t xml:space="preserve"> 12 Months</w:t>
            </w:r>
          </w:p>
        </w:tc>
        <w:tc>
          <w:tcPr>
            <w:tcW w:w="1740" w:type="dxa"/>
            <w:tcBorders/>
          </w:tcPr>
          <w:p>
            <w:pPr>
              <w:pStyle w:val="Normal"/>
              <w:jc w:val="center"/>
              <w:rPr/>
            </w:pPr>
            <w:r>
              <w:rPr/>
              <w:t>$3,500</w:t>
            </w:r>
          </w:p>
        </w:tc>
        <w:tc>
          <w:tcPr>
            <w:tcW w:w="1740" w:type="dxa"/>
            <w:tcBorders/>
          </w:tcPr>
          <w:p>
            <w:pPr>
              <w:pStyle w:val="Normal"/>
              <w:jc w:val="center"/>
              <w:rPr/>
            </w:pPr>
            <w:r>
              <w:rPr/>
              <w:t>$3,100</w:t>
            </w:r>
          </w:p>
        </w:tc>
        <w:tc>
          <w:tcPr>
            <w:tcW w:w="1740" w:type="dxa"/>
            <w:tcBorders/>
          </w:tcPr>
          <w:p>
            <w:pPr>
              <w:pStyle w:val="Normal"/>
              <w:jc w:val="center"/>
              <w:rPr/>
            </w:pPr>
            <w:r>
              <w:rPr/>
              <w:t>$2,900</w:t>
            </w:r>
          </w:p>
        </w:tc>
        <w:tc>
          <w:tcPr>
            <w:tcW w:w="1740" w:type="dxa"/>
            <w:tcBorders/>
          </w:tcPr>
          <w:p>
            <w:pPr>
              <w:pStyle w:val="Normal"/>
              <w:jc w:val="center"/>
              <w:rPr/>
            </w:pPr>
            <w:r>
              <w:rPr/>
              <w:t>$2,700</w:t>
            </w:r>
          </w:p>
        </w:tc>
        <w:tc>
          <w:tcPr>
            <w:tcW w:w="1740" w:type="dxa"/>
            <w:tcBorders/>
          </w:tcPr>
          <w:p>
            <w:pPr>
              <w:pStyle w:val="Normal"/>
              <w:jc w:val="center"/>
              <w:rPr/>
            </w:pPr>
            <w:r>
              <w:rPr/>
              <w:t>$2,500</w:t>
            </w:r>
          </w:p>
        </w:tc>
      </w:tr>
    </w:tbl>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Subordinated Debt</w:t>
            </w:r>
          </w:p>
        </w:tc>
        <w:tc>
          <w:tcPr>
            <w:tcW w:w="1260" w:type="dxa"/>
            <w:tcBorders/>
          </w:tcPr>
          <w:p>
            <w:pPr>
              <w:pStyle w:val="Normal"/>
              <w:jc w:val="end"/>
              <w:rPr/>
            </w:pPr>
            <w:r>
              <w:rPr/>
              <w:t>$0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Capital Expenditure</w:t>
            </w:r>
          </w:p>
        </w:tc>
        <w:tc>
          <w:tcPr>
            <w:tcW w:w="1260" w:type="dxa"/>
            <w:tcBorders/>
          </w:tcPr>
          <w:p>
            <w:pPr>
              <w:pStyle w:val="Normal"/>
              <w:jc w:val="end"/>
              <w:rPr/>
            </w:pPr>
            <w:r>
              <w:rPr/>
              <w:t>$5,000,000</w:t>
            </w:r>
          </w:p>
        </w:tc>
      </w:tr>
      <w:tr>
        <w:trPr/>
        <w:tc>
          <w:tcPr>
            <w:tcW w:w="2160" w:type="dxa"/>
            <w:tcBorders/>
          </w:tcPr>
          <w:p>
            <w:pPr>
              <w:pStyle w:val="Header"/>
              <w:widowControl/>
              <w:tabs>
                <w:tab w:val="clear" w:pos="4320"/>
                <w:tab w:val="clear" w:pos="8640"/>
              </w:tabs>
              <w:rPr/>
            </w:pPr>
            <w:r>
              <w:rPr/>
              <w:t>Enron Equity</w:t>
            </w:r>
          </w:p>
        </w:tc>
        <w:tc>
          <w:tcPr>
            <w:tcW w:w="1260" w:type="dxa"/>
            <w:tcBorders/>
          </w:tcPr>
          <w:p>
            <w:pPr>
              <w:pStyle w:val="Normal"/>
              <w:jc w:val="end"/>
              <w:rPr/>
            </w:pPr>
            <w:r>
              <w:rPr/>
              <w:t>$5,000,000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cPr>
          <w:p>
            <w:pPr>
              <w:pStyle w:val="Normal"/>
              <w:snapToGrid w:val="false"/>
              <w:jc w:val="end"/>
              <w:rPr/>
            </w:pPr>
            <w:r>
              <w:rPr/>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$5,000,000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$5,000,000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snapToGrid w:val="false"/>
              <w:ind w:end="-69"/>
              <w:jc w:val="end"/>
              <w:rPr>
                <w:b w:val="false"/>
              </w:rPr>
            </w:pPr>
            <w:r>
              <w:rPr>
                <w:b w:val="false"/>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snapToGrid w:val="false"/>
              <w:ind w:end="-69"/>
              <w:jc w:val="end"/>
              <w:rPr>
                <w:b w:val="false"/>
              </w:rPr>
            </w:pPr>
            <w:r>
              <w:rPr>
                <w:b w:val="false"/>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snapToGrid w:val="false"/>
              <w:ind w:end="-63"/>
              <w:jc w:val="end"/>
              <w:rPr/>
            </w:pPr>
            <w:r>
              <w:rPr/>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720"/>
                <w:tab w:val="left" w:pos="432" w:leader="none"/>
              </w:tabs>
              <w:snapToGrid w:val="false"/>
              <w:ind w:end="-63"/>
              <w:jc w:val="end"/>
              <w:rPr>
                <w:b w:val="false"/>
              </w:rPr>
            </w:pPr>
            <w:r>
              <w:rPr>
                <w:b w:val="false"/>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snapToGrid w:val="false"/>
              <w:jc w:val="end"/>
              <w:rPr>
                <w:b/>
              </w:rPr>
            </w:pPr>
            <w:r>
              <w:rPr>
                <w:b/>
              </w:rPr>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b/>
              </w:rPr>
            </w:pPr>
            <w:r>
              <w:rPr>
                <w:b/>
              </w:rPr>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snapToGrid w:val="false"/>
              <w:ind w:end="-63"/>
              <w:jc w:val="end"/>
              <w:rPr>
                <w:b/>
              </w:rPr>
            </w:pPr>
            <w:r>
              <w:rPr>
                <w:b/>
              </w:rPr>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snapToGrid w:val="false"/>
              <w:jc w:val="end"/>
              <w:rPr/>
            </w:pPr>
            <w:r>
              <w:rPr/>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snapToGrid w:val="false"/>
              <w:jc w:val="end"/>
              <w:rPr/>
            </w:pPr>
            <w:r>
              <w:rPr/>
            </w:r>
          </w:p>
        </w:tc>
      </w:tr>
    </w:tbl>
    <w:p>
      <w:pPr>
        <w:pStyle w:val="Header"/>
        <w:widowControl/>
        <w:tabs>
          <w:tab w:val="clear" w:pos="4320"/>
          <w:tab w:val="clear" w:pos="8640"/>
        </w:tabs>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t>(include chart to show impact if appropriate)</w:t>
      </w:r>
    </w:p>
    <w:p>
      <w:pPr>
        <w:pStyle w:val="Normal"/>
        <w:ind w:end="-36"/>
        <w:rPr>
          <w:b/>
          <w:i/>
          <w:i/>
        </w:rPr>
      </w:pPr>
      <w:r>
        <w:rPr>
          <w:b/>
          <w:i/>
        </w:rPr>
      </w:r>
    </w:p>
    <w:p>
      <w:pPr>
        <w:pStyle w:val="Normal"/>
        <w:ind w:end="-36"/>
        <w:rPr/>
      </w:pPr>
      <w:r>
        <w:rPr/>
        <w:t>Current value of the equity and warrants over the closing price on September 21, 2000 is $43.616 million (assuming immediately exercisable).  [MICHAEL MILLERTO PROVIDE BLACK-SCHOLES ANALYSIS]</w:t>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r>
    </w:p>
    <w:p>
      <w:pPr>
        <w:pStyle w:val="Normal"/>
        <w:rPr/>
      </w:pPr>
      <w:r>
        <w:rPr/>
        <w:t>Liquidation of shares through registration rights or 144 offerings.</w:t>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10">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Equity Price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Capped at $5 million initial investment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Securities Law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Buying directly from the company with a unity of knowledge of contemplated transaction with State of Connecticut, restriction on selling equity for 6 months to allow information to be disseminated through the market. ENA and FCEL will acknowledge the information that has been exchanged which best demonstrates a unity of knowledge between the two companies. </w:t>
            </w:r>
          </w:p>
          <w:p>
            <w:pPr>
              <w:pStyle w:val="Normal"/>
              <w:jc w:val="both"/>
              <w:rPr/>
            </w:pPr>
            <w:r>
              <w:rPr/>
            </w:r>
          </w:p>
          <w:p>
            <w:pPr>
              <w:pStyle w:val="Normal"/>
              <w:jc w:val="both"/>
              <w:rPr/>
            </w:pPr>
            <w:r>
              <w:rPr/>
              <w:t xml:space="preserve">ENE and FCEL will issue a press release and comply with all applicable SEC regulations regarding this transaction.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Public relations risk in using  State of Connecticut funds and owning equity in FCEL</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State approval of the contemplated transaction requires a public hearing and filing of testimony with the DPUC.  State will have full knowledge of the equity investment and warrants before making decision on Connecticut project.  FCEL will also disclose knowledge of ENA’s relationship with FCEL in a press release and S-3 filing prior to the approval or appropriation of funds from the State of Connecticut.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r>
        <w:br w:type="page"/>
      </w:r>
    </w:p>
    <w:p>
      <w:pPr>
        <w:pStyle w:val="Normal"/>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Principle Investments</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Jeff Donahue/Michael Miller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East Midstream Orig.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Janet Dietrich/Ozzie Pagan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Dave Delainey</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$5,000,000</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$5,000,000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6"/>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t>X Below Market</w:t>
        <w:br/>
        <w:br/>
        <w:t>Describe (if necessary):</w:t>
        <w:br/>
        <w:br/>
        <w:br/>
      </w:r>
    </w:p>
    <w:p>
      <w:pPr>
        <w:pStyle w:val="Normal"/>
        <w:numPr>
          <w:ilvl w:val="0"/>
          <w:numId w:val="6"/>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6"/>
        </w:numPr>
        <w:rPr/>
      </w:pPr>
      <w:r>
        <w:rPr>
          <w:b/>
        </w:rPr>
        <w:t>Legal or practical liquidity restrictions:</w:t>
      </w:r>
      <w:r>
        <w:rPr/>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6"/>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t>X No Recourse</w:t>
        <w:br/>
        <w:br/>
        <w:t>Describe (if any):</w:t>
        <w:br/>
        <w:br/>
        <w:br/>
      </w:r>
    </w:p>
    <w:p>
      <w:pPr>
        <w:pStyle w:val="Normal"/>
        <w:numPr>
          <w:ilvl w:val="0"/>
          <w:numId w:val="4"/>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7"/>
        </w:numPr>
        <w:rPr/>
      </w:pPr>
      <w:r>
        <w:rPr>
          <w:b/>
        </w:rPr>
        <w:t>Intended Enron hold period:</w:t>
      </w:r>
      <w:r>
        <w:rPr/>
        <w:br/>
        <w:br/>
        <w:br/>
        <w:br/>
      </w:r>
    </w:p>
    <w:p>
      <w:pPr>
        <w:pStyle w:val="Normal"/>
        <w:numPr>
          <w:ilvl w:val="0"/>
          <w:numId w:val="3"/>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3">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5"/>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4">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5760720</wp:posOffset>
                </wp:positionH>
                <wp:positionV relativeFrom="paragraph">
                  <wp:posOffset>88265</wp:posOffset>
                </wp:positionV>
                <wp:extent cx="962025" cy="2540"/>
                <wp:effectExtent l="5715" t="5080" r="5080" b="5715"/>
                <wp:wrapNone/>
                <wp:docPr id="6"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b/>
        </w:rPr>
        <w:t>Global Finance Representative:</w:t>
      </w:r>
    </w:p>
    <w:p>
      <w:pPr>
        <w:pStyle w:val="Normal"/>
        <w:rPr>
          <w:b/>
        </w:rPr>
      </w:pPr>
      <w:r>
        <w:rPr>
          <w:b/>
        </w:rPr>
        <w:t>Global Finance Legal:</w:t>
        <w:tab/>
        <w:tab/>
        <w:tab/>
        <w:tab/>
        <w:tab/>
        <w:tab/>
        <w:tab/>
      </w:r>
    </w:p>
    <w:p>
      <w:pPr>
        <w:pStyle w:val="Normal"/>
        <w:ind w:start="360" w:end="0"/>
        <w:rPr/>
      </w:pPr>
      <w:r>
        <mc:AlternateContent>
          <mc:Choice Requires="wps">
            <w:drawing>
              <wp:anchor behindDoc="0" distT="0" distB="0" distL="114935" distR="114935" simplePos="0" locked="0" layoutInCell="1" allowOverlap="1" relativeHeight="7">
                <wp:simplePos x="0" y="0"/>
                <wp:positionH relativeFrom="column">
                  <wp:posOffset>2026920</wp:posOffset>
                </wp:positionH>
                <wp:positionV relativeFrom="paragraph">
                  <wp:posOffset>-3810</wp:posOffset>
                </wp:positionV>
                <wp:extent cx="1724025" cy="635"/>
                <wp:effectExtent l="5715" t="5080" r="5080" b="4445"/>
                <wp:wrapNone/>
                <wp:docPr id="7"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3846195</wp:posOffset>
                </wp:positionH>
                <wp:positionV relativeFrom="paragraph">
                  <wp:posOffset>-3810</wp:posOffset>
                </wp:positionV>
                <wp:extent cx="1724025" cy="635"/>
                <wp:effectExtent l="5715" t="5080" r="5080" b="4445"/>
                <wp:wrapNone/>
                <wp:docPr id="8"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5760720</wp:posOffset>
                </wp:positionH>
                <wp:positionV relativeFrom="paragraph">
                  <wp:posOffset>-3810</wp:posOffset>
                </wp:positionV>
                <wp:extent cx="952500" cy="635"/>
                <wp:effectExtent l="5080" t="5080" r="5715" b="4445"/>
                <wp:wrapNone/>
                <wp:docPr id="9"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Signature</w:t>
        <w:tab/>
        <w:tab/>
        <w:tab/>
        <w:t>Name (Printed)</w:t>
        <w:tab/>
        <w:tab/>
        <w:tab/>
        <w:t>Date</w:t>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/mnt/main-storage/datasets/enron-docs/doc/Silver_Oak_DASH_9_26_00-aabff6d6337652ab40dc82adeec34aa8056db3a0649c48944e60fda81c7d8bbd.doc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2000-09-26T18:20:00Z</dcterms:created>
  <dc:creator>mruane</dc:creator>
  <dc:description>MR: 9-20-99 added tax signoff</dc:description>
  <dc:language>en-CA</dc:language>
  <cp:lastModifiedBy>hkroll</cp:lastModifiedBy>
  <cp:lastPrinted>2000-09-26T16:21:00Z</cp:lastPrinted>
  <dcterms:modified xsi:type="dcterms:W3CDTF">2000-09-26T21:49:00Z</dcterms:modified>
  <cp:revision>11</cp:revision>
  <dc:subject/>
  <dc:title>ENRON RISK ASSESSMENT AND CONTROL</dc:title>
</cp:coreProperties>
</file>