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p>
      <w:pPr>
        <w:pStyle w:val="Heading"/>
        <w:rPr/>
      </w:pPr>
      <w:r>
        <w:rPr/>
      </w:r>
    </w:p>
    <w:p>
      <w:pPr>
        <w:pStyle w:val="Heading"/>
        <w:rPr/>
      </w:pPr>
      <w:r>
        <w:rPr/>
      </w:r>
    </w:p>
    <w:p>
      <w:pPr>
        <w:pStyle w:val="Heading"/>
        <w:rPr/>
      </w:pPr>
      <w:r>
        <w:rPr/>
      </w:r>
    </w:p>
    <w:p>
      <w:pPr>
        <w:pStyle w:val="Heading"/>
        <w:rPr/>
      </w:pPr>
      <w:r>
        <w:rPr/>
      </w:r>
    </w:p>
    <w:p>
      <w:pPr>
        <w:pStyle w:val="Heading"/>
        <w:rPr/>
      </w:pPr>
      <w:r>
        <w:rPr/>
      </w:r>
    </w:p>
    <w:tbl>
      <w:tblPr>
        <w:tblW w:w="10398" w:type="dxa"/>
        <w:jc w:val="start"/>
        <w:tblInd w:w="200" w:type="dxa"/>
        <w:tblLayout w:type="fixed"/>
        <w:tblCellMar>
          <w:top w:w="0" w:type="dxa"/>
          <w:start w:w="108" w:type="dxa"/>
          <w:bottom w:w="0" w:type="dxa"/>
          <w:end w:w="108" w:type="dxa"/>
        </w:tblCellMar>
      </w:tblPr>
      <w:tblGrid>
        <w:gridCol w:w="708"/>
        <w:gridCol w:w="6045"/>
        <w:gridCol w:w="990"/>
        <w:gridCol w:w="265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Fernley Dyson</w:t>
            </w:r>
          </w:p>
        </w:tc>
        <w:tc>
          <w:tcPr>
            <w:tcW w:w="990" w:type="dxa"/>
            <w:tcBorders/>
          </w:tcPr>
          <w:p>
            <w:pPr>
              <w:pStyle w:val="Normal"/>
              <w:snapToGrid w:val="false"/>
              <w:ind w:start="-180" w:end="0"/>
              <w:rPr/>
            </w:pPr>
            <w:r>
              <w:rPr/>
            </w:r>
          </w:p>
        </w:tc>
        <w:tc>
          <w:tcPr>
            <w:tcW w:w="2655" w:type="dxa"/>
            <w:tcBorders/>
          </w:tcPr>
          <w:p>
            <w:pPr>
              <w:pStyle w:val="Normal"/>
              <w:snapToGrid w:val="false"/>
              <w:rPr/>
            </w:pPr>
            <w:r>
              <w:rPr/>
            </w:r>
          </w:p>
        </w:tc>
      </w:tr>
      <w:tr>
        <w:trPr>
          <w:trHeight w:val="216" w:hRule="exact"/>
        </w:trPr>
        <w:tc>
          <w:tcPr>
            <w:tcW w:w="708" w:type="dxa"/>
            <w:tcBorders/>
          </w:tcPr>
          <w:p>
            <w:pPr>
              <w:pStyle w:val="Normal"/>
              <w:snapToGrid w:val="false"/>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655" w:type="dxa"/>
            <w:tcBorders/>
          </w:tcPr>
          <w:p>
            <w:pPr>
              <w:pStyle w:val="Normal"/>
              <w:snapToGrid w:val="false"/>
              <w:rPr>
                <w:sz w:val="18"/>
              </w:rPr>
            </w:pPr>
            <w:r>
              <w:rPr>
                <w:sz w:val="18"/>
              </w:rPr>
            </w:r>
          </w:p>
        </w:tc>
      </w:tr>
      <w:tr>
        <w:trPr>
          <w:trHeight w:val="300" w:hRule="exact"/>
        </w:trPr>
        <w:tc>
          <w:tcPr>
            <w:tcW w:w="708" w:type="dxa"/>
            <w:tcBorders/>
          </w:tcPr>
          <w:p>
            <w:pPr>
              <w:pStyle w:val="Normal"/>
              <w:jc w:val="end"/>
              <w:rPr>
                <w:sz w:val="16"/>
              </w:rPr>
            </w:pPr>
            <w:r>
              <w:rPr>
                <w:sz w:val="16"/>
              </w:rPr>
              <w:t>From:</w:t>
            </w:r>
          </w:p>
        </w:tc>
        <w:tc>
          <w:tcPr>
            <w:tcW w:w="6045" w:type="dxa"/>
            <w:tcBorders/>
          </w:tcPr>
          <w:p>
            <w:pPr>
              <w:pStyle w:val="From"/>
              <w:rPr/>
            </w:pPr>
            <w:r>
              <w:rPr/>
              <w:t>Oliver Gaylard</w:t>
            </w:r>
          </w:p>
        </w:tc>
        <w:tc>
          <w:tcPr>
            <w:tcW w:w="990" w:type="dxa"/>
            <w:tcBorders/>
          </w:tcPr>
          <w:p>
            <w:pPr>
              <w:pStyle w:val="Normal"/>
              <w:ind w:start="-180" w:end="0"/>
              <w:jc w:val="end"/>
              <w:rPr>
                <w:sz w:val="16"/>
              </w:rPr>
            </w:pPr>
            <w:r>
              <w:rPr>
                <w:sz w:val="16"/>
              </w:rPr>
              <w:t>Department:</w:t>
            </w:r>
          </w:p>
        </w:tc>
        <w:tc>
          <w:tcPr>
            <w:tcW w:w="2655" w:type="dxa"/>
            <w:tcBorders/>
          </w:tcPr>
          <w:p>
            <w:pPr>
              <w:pStyle w:val="Department"/>
              <w:rPr/>
            </w:pPr>
            <w:bookmarkStart w:id="0" w:name="From"/>
            <w:bookmarkEnd w:id="0"/>
            <w:r>
              <w:rPr/>
              <w:t>ECT-Europe</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65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Commercial support for Credit-trading desk activity</w:t>
            </w:r>
          </w:p>
        </w:tc>
        <w:tc>
          <w:tcPr>
            <w:tcW w:w="990" w:type="dxa"/>
            <w:tcBorders>
              <w:bottom w:val="single" w:sz="12" w:space="0" w:color="000000"/>
            </w:tcBorders>
          </w:tcPr>
          <w:p>
            <w:pPr>
              <w:pStyle w:val="Normal"/>
              <w:ind w:start="-180" w:end="0"/>
              <w:jc w:val="end"/>
              <w:rPr>
                <w:sz w:val="16"/>
              </w:rPr>
            </w:pPr>
            <w:r>
              <w:rPr>
                <w:sz w:val="16"/>
              </w:rPr>
              <w:t>Date:</w:t>
            </w:r>
          </w:p>
        </w:tc>
        <w:tc>
          <w:tcPr>
            <w:tcW w:w="265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p>
    <w:p>
      <w:pPr>
        <w:pStyle w:val="Body"/>
        <w:rPr/>
      </w:pPr>
      <w:r>
        <w:rPr/>
        <w:t>This is a brief outline of the degree of support currently available for vanilla bankruptcy default swap trading activity by the European and US Credit-trading desk. It is considered that we can support a moderate level of European originated bankruptcy default swap trading in the immediate future. In detail:</w:t>
      </w:r>
    </w:p>
    <w:p>
      <w:pPr>
        <w:pStyle w:val="Body"/>
        <w:rPr/>
      </w:pPr>
      <w:r>
        <w:rPr/>
      </w:r>
    </w:p>
    <w:p>
      <w:pPr>
        <w:pStyle w:val="Body"/>
        <w:rPr/>
      </w:pPr>
      <w:r>
        <w:rPr/>
        <w:t>Trade and curve caputure have been built around a database, with basic risk management infrastructure in place. The functionality is in place to povide a daily DPR, based on an automated deal valuation engine, with daily profit and loss analysis and exposure/limit reporting (Nominal position, Maximum loss, maximum trade tenor and one and five day P+L loss limits can all be produced) in an excel environment. Please note that the types of trading limits and associated headrooms have yet to be finalised by Credit Risk management.</w:t>
      </w:r>
    </w:p>
    <w:p>
      <w:pPr>
        <w:pStyle w:val="Body"/>
        <w:rPr/>
      </w:pPr>
      <w:r>
        <w:rPr/>
      </w:r>
    </w:p>
    <w:p>
      <w:pPr>
        <w:pStyle w:val="Body"/>
        <w:rPr/>
      </w:pPr>
      <w:r>
        <w:rPr/>
        <w:t>Accounting ledgers, associated project cost codes and mannual documentation and settlement processes are in place. However Documentation require final Enron Online and negotiated contracts, from Legal, before confirmations can be made. Overall the current processes are overly manual but are controllable. Future support will become more automated as the business developes.</w:t>
      </w:r>
    </w:p>
    <w:p>
      <w:pPr>
        <w:pStyle w:val="Body"/>
        <w:rPr/>
      </w:pPr>
      <w:r>
        <w:rPr/>
      </w:r>
    </w:p>
    <w:p>
      <w:pPr>
        <w:pStyle w:val="Body"/>
        <w:rPr/>
      </w:pPr>
      <w:r>
        <w:rPr/>
        <w:t>The only significant outstanding issues are review of the curve methodology in addition to having not yet obtaining agreement between Risk management and Credit Risk on a curve validation process.</w:t>
      </w:r>
    </w:p>
    <w:p>
      <w:pPr>
        <w:pStyle w:val="Body"/>
        <w:rPr/>
      </w:pPr>
      <w:r>
        <w:rPr/>
      </w:r>
    </w:p>
    <w:p>
      <w:pPr>
        <w:pStyle w:val="Body"/>
        <w:rPr/>
      </w:pPr>
      <w:r>
        <w:rPr/>
        <w:t>Support for the US Credit-trading desk, planned to be based in London, does not differ significantly from that of European activity, using the same systems infrastructure. However support for this desk is less adavnced in terms of finalised operational details and as such is not at a sufficient stage of development to be signed off. The ability to sign off on support of this desk is envisaged within the next two weeks.</w:t>
      </w:r>
    </w:p>
    <w:p>
      <w:pPr>
        <w:pStyle w:val="Body"/>
        <w:rPr/>
      </w:pPr>
      <w:r>
        <w:rPr/>
      </w:r>
    </w:p>
    <w:p>
      <w:pPr>
        <w:pStyle w:val="Body"/>
        <w:rPr>
          <w:rFonts w:eastAsia="Arial"/>
        </w:rPr>
      </w:pPr>
      <w:r>
        <w:rPr>
          <w:rFonts w:eastAsia="Arial"/>
        </w:rPr>
        <w:t xml:space="preserve"> </w:t>
      </w:r>
    </w:p>
    <w:sectPr>
      <w:headerReference w:type="default" r:id="rId3"/>
      <w:headerReference w:type="first" r:id="rId4"/>
      <w:footerReference w:type="default" r:id="rId5"/>
      <w:footerReference w:type="first" r:id="rId6"/>
      <w:type w:val="nextPage"/>
      <w:pgSz w:w="11906" w:h="16838"/>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Enmemo97.dot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2000-02-09T10:54:00Z</dcterms:created>
  <dc:creator>OGaylard</dc:creator>
  <dc:description/>
  <dc:language>en-CA</dc:language>
  <cp:lastModifiedBy>OGaylard</cp:lastModifiedBy>
  <cp:lastPrinted>2000-02-09T14:42:00Z</cp:lastPrinted>
  <dcterms:modified xsi:type="dcterms:W3CDTF">2000-02-09T12:49:00Z</dcterms:modified>
  <cp:revision>5</cp:revision>
  <dc:subject/>
  <dc:title>Create an InterOffice Memo</dc:title>
</cp:coreProperties>
</file>