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rFonts w:ascii="Times New Roman" w:hAnsi="Times New Roman" w:cs="Times New Roman"/>
          <w:sz w:val="22"/>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440" w:type="dxa"/>
        <w:jc w:val="start"/>
        <w:tblInd w:w="-522" w:type="dxa"/>
        <w:tblLayout w:type="fixed"/>
        <w:tblCellMar>
          <w:top w:w="0" w:type="dxa"/>
          <w:start w:w="108" w:type="dxa"/>
          <w:bottom w:w="0" w:type="dxa"/>
          <w:end w:w="108" w:type="dxa"/>
        </w:tblCellMar>
      </w:tblPr>
      <w:tblGrid>
        <w:gridCol w:w="1260"/>
        <w:gridCol w:w="4860"/>
        <w:gridCol w:w="1708"/>
        <w:gridCol w:w="2612"/>
      </w:tblGrid>
      <w:tr>
        <w:trPr>
          <w:trHeight w:val="300" w:hRule="exact"/>
        </w:trPr>
        <w:tc>
          <w:tcPr>
            <w:tcW w:w="1260" w:type="dxa"/>
            <w:tcBorders/>
          </w:tcPr>
          <w:p>
            <w:pPr>
              <w:pStyle w:val="Normal"/>
              <w:spacing w:before="20" w:after="0"/>
              <w:ind w:firstLine="90" w:start="-18" w:end="0"/>
              <w:jc w:val="both"/>
              <w:rPr>
                <w:rFonts w:ascii="Bookman Old Style" w:hAnsi="Bookman Old Style" w:cs="Bookman Old Style"/>
                <w:sz w:val="22"/>
              </w:rPr>
            </w:pPr>
            <w:r>
              <w:rPr>
                <w:rFonts w:cs="Bookman Old Style" w:ascii="Bookman Old Style" w:hAnsi="Bookman Old Style"/>
                <w:sz w:val="22"/>
              </w:rPr>
              <w:t>To:</w:t>
            </w:r>
          </w:p>
        </w:tc>
        <w:tc>
          <w:tcPr>
            <w:tcW w:w="4860" w:type="dxa"/>
            <w:tcBorders/>
          </w:tcPr>
          <w:p>
            <w:pPr>
              <w:pStyle w:val="To"/>
              <w:jc w:val="both"/>
              <w:rPr>
                <w:rFonts w:ascii="Bookman Old Style" w:hAnsi="Bookman Old Style" w:cs="Bookman Old Style"/>
                <w:sz w:val="22"/>
              </w:rPr>
            </w:pPr>
            <w:bookmarkStart w:id="0" w:name="to"/>
            <w:bookmarkEnd w:id="0"/>
            <w:r>
              <w:rPr>
                <w:rFonts w:cs="Bookman Old Style" w:ascii="Bookman Old Style" w:hAnsi="Bookman Old Style"/>
                <w:sz w:val="22"/>
              </w:rPr>
              <w:t>Wade Cline</w:t>
            </w:r>
          </w:p>
        </w:tc>
        <w:tc>
          <w:tcPr>
            <w:tcW w:w="1708" w:type="dxa"/>
            <w:tcBorders/>
          </w:tcPr>
          <w:p>
            <w:pPr>
              <w:pStyle w:val="Normal"/>
              <w:snapToGrid w:val="false"/>
              <w:spacing w:before="20" w:after="0"/>
              <w:ind w:firstLine="29" w:start="-202" w:end="0"/>
              <w:jc w:val="both"/>
              <w:rPr>
                <w:rFonts w:ascii="Bookman Old Style" w:hAnsi="Bookman Old Style" w:cs="Bookman Old Style"/>
                <w:sz w:val="22"/>
              </w:rPr>
            </w:pPr>
            <w:r>
              <w:rPr>
                <w:rFonts w:cs="Bookman Old Style" w:ascii="Bookman Old Style" w:hAnsi="Bookman Old Style"/>
                <w:sz w:val="22"/>
              </w:rPr>
            </w:r>
          </w:p>
        </w:tc>
        <w:tc>
          <w:tcPr>
            <w:tcW w:w="2612" w:type="dxa"/>
            <w:tcBorders/>
          </w:tcPr>
          <w:p>
            <w:pPr>
              <w:pStyle w:val="Normal"/>
              <w:snapToGrid w:val="false"/>
              <w:jc w:val="both"/>
              <w:rPr>
                <w:rFonts w:ascii="Bookman Old Style" w:hAnsi="Bookman Old Style" w:cs="Bookman Old Style"/>
                <w:sz w:val="22"/>
              </w:rPr>
            </w:pPr>
            <w:r>
              <w:rPr>
                <w:rFonts w:cs="Bookman Old Style" w:ascii="Bookman Old Style" w:hAnsi="Bookman Old Style"/>
                <w:sz w:val="22"/>
              </w:rPr>
            </w:r>
          </w:p>
        </w:tc>
      </w:tr>
      <w:tr>
        <w:trPr>
          <w:trHeight w:val="216" w:hRule="exact"/>
        </w:trPr>
        <w:tc>
          <w:tcPr>
            <w:tcW w:w="1260" w:type="dxa"/>
            <w:tcBorders/>
          </w:tcPr>
          <w:p>
            <w:pPr>
              <w:pStyle w:val="Normal"/>
              <w:snapToGrid w:val="false"/>
              <w:spacing w:before="20" w:after="0"/>
              <w:ind w:start="-187" w:end="0"/>
              <w:jc w:val="both"/>
              <w:rPr>
                <w:rFonts w:ascii="Bookman Old Style" w:hAnsi="Bookman Old Style" w:cs="Bookman Old Style"/>
                <w:sz w:val="22"/>
              </w:rPr>
            </w:pPr>
            <w:r>
              <w:rPr>
                <w:rFonts w:cs="Bookman Old Style" w:ascii="Bookman Old Style" w:hAnsi="Bookman Old Style"/>
                <w:sz w:val="22"/>
              </w:rPr>
            </w:r>
          </w:p>
        </w:tc>
        <w:tc>
          <w:tcPr>
            <w:tcW w:w="4860" w:type="dxa"/>
            <w:tcBorders/>
          </w:tcPr>
          <w:p>
            <w:pPr>
              <w:pStyle w:val="Normal"/>
              <w:snapToGrid w:val="false"/>
              <w:jc w:val="both"/>
              <w:rPr>
                <w:rFonts w:ascii="Bookman Old Style" w:hAnsi="Bookman Old Style" w:cs="Bookman Old Style"/>
                <w:sz w:val="22"/>
              </w:rPr>
            </w:pPr>
            <w:r>
              <w:rPr>
                <w:rFonts w:cs="Bookman Old Style" w:ascii="Bookman Old Style" w:hAnsi="Bookman Old Style"/>
                <w:sz w:val="22"/>
              </w:rPr>
            </w:r>
          </w:p>
        </w:tc>
        <w:tc>
          <w:tcPr>
            <w:tcW w:w="1708" w:type="dxa"/>
            <w:tcBorders/>
          </w:tcPr>
          <w:p>
            <w:pPr>
              <w:pStyle w:val="Normal"/>
              <w:snapToGrid w:val="false"/>
              <w:spacing w:before="20" w:after="0"/>
              <w:ind w:firstLine="29" w:start="-202" w:end="0"/>
              <w:jc w:val="both"/>
              <w:rPr>
                <w:rFonts w:ascii="Bookman Old Style" w:hAnsi="Bookman Old Style" w:cs="Bookman Old Style"/>
                <w:sz w:val="22"/>
              </w:rPr>
            </w:pPr>
            <w:r>
              <w:rPr>
                <w:rFonts w:cs="Bookman Old Style" w:ascii="Bookman Old Style" w:hAnsi="Bookman Old Style"/>
                <w:sz w:val="22"/>
              </w:rPr>
            </w:r>
          </w:p>
        </w:tc>
        <w:tc>
          <w:tcPr>
            <w:tcW w:w="2612" w:type="dxa"/>
            <w:tcBorders/>
          </w:tcPr>
          <w:p>
            <w:pPr>
              <w:pStyle w:val="Normal"/>
              <w:snapToGrid w:val="false"/>
              <w:jc w:val="both"/>
              <w:rPr>
                <w:rFonts w:ascii="Bookman Old Style" w:hAnsi="Bookman Old Style" w:cs="Bookman Old Style"/>
                <w:sz w:val="22"/>
              </w:rPr>
            </w:pPr>
            <w:r>
              <w:rPr>
                <w:rFonts w:cs="Bookman Old Style" w:ascii="Bookman Old Style" w:hAnsi="Bookman Old Style"/>
                <w:sz w:val="22"/>
              </w:rPr>
            </w:r>
          </w:p>
        </w:tc>
      </w:tr>
      <w:tr>
        <w:trPr>
          <w:trHeight w:val="300" w:hRule="exact"/>
        </w:trPr>
        <w:tc>
          <w:tcPr>
            <w:tcW w:w="1260" w:type="dxa"/>
            <w:tcBorders/>
          </w:tcPr>
          <w:p>
            <w:pPr>
              <w:pStyle w:val="Normal"/>
              <w:spacing w:before="20" w:after="0"/>
              <w:ind w:firstLine="259" w:start="-187" w:end="0"/>
              <w:jc w:val="both"/>
              <w:rPr>
                <w:rFonts w:ascii="Bookman Old Style" w:hAnsi="Bookman Old Style" w:cs="Bookman Old Style"/>
                <w:sz w:val="22"/>
              </w:rPr>
            </w:pPr>
            <w:r>
              <w:rPr>
                <w:rFonts w:cs="Bookman Old Style" w:ascii="Bookman Old Style" w:hAnsi="Bookman Old Style"/>
                <w:sz w:val="22"/>
              </w:rPr>
              <w:t>From:</w:t>
            </w:r>
          </w:p>
        </w:tc>
        <w:tc>
          <w:tcPr>
            <w:tcW w:w="4860" w:type="dxa"/>
            <w:tcBorders/>
          </w:tcPr>
          <w:p>
            <w:pPr>
              <w:pStyle w:val="From"/>
              <w:jc w:val="both"/>
              <w:rPr>
                <w:rFonts w:ascii="Bookman Old Style" w:hAnsi="Bookman Old Style" w:cs="Bookman Old Style"/>
                <w:sz w:val="22"/>
              </w:rPr>
            </w:pPr>
            <w:r>
              <w:rPr>
                <w:rFonts w:cs="Bookman Old Style" w:ascii="Bookman Old Style" w:hAnsi="Bookman Old Style"/>
                <w:sz w:val="22"/>
              </w:rPr>
              <w:t>Jane Wilson</w:t>
            </w:r>
          </w:p>
        </w:tc>
        <w:tc>
          <w:tcPr>
            <w:tcW w:w="1708" w:type="dxa"/>
            <w:tcBorders/>
          </w:tcPr>
          <w:p>
            <w:pPr>
              <w:pStyle w:val="Normal"/>
              <w:spacing w:before="20" w:after="0"/>
              <w:ind w:firstLine="184" w:start="-202" w:end="0"/>
              <w:jc w:val="both"/>
              <w:rPr>
                <w:rFonts w:ascii="Bookman Old Style" w:hAnsi="Bookman Old Style" w:cs="Bookman Old Style"/>
                <w:sz w:val="22"/>
              </w:rPr>
            </w:pPr>
            <w:r>
              <w:rPr>
                <w:rFonts w:cs="Bookman Old Style" w:ascii="Bookman Old Style" w:hAnsi="Bookman Old Style"/>
                <w:sz w:val="22"/>
              </w:rPr>
              <w:t>Department:</w:t>
            </w:r>
          </w:p>
        </w:tc>
        <w:tc>
          <w:tcPr>
            <w:tcW w:w="2612" w:type="dxa"/>
            <w:tcBorders/>
          </w:tcPr>
          <w:p>
            <w:pPr>
              <w:pStyle w:val="Department"/>
              <w:jc w:val="both"/>
              <w:rPr>
                <w:rFonts w:ascii="Bookman Old Style" w:hAnsi="Bookman Old Style" w:cs="Bookman Old Style"/>
                <w:sz w:val="22"/>
              </w:rPr>
            </w:pPr>
            <w:bookmarkStart w:id="1" w:name="From"/>
            <w:bookmarkEnd w:id="1"/>
            <w:r>
              <w:rPr>
                <w:rFonts w:cs="Bookman Old Style" w:ascii="Bookman Old Style" w:hAnsi="Bookman Old Style"/>
                <w:sz w:val="22"/>
              </w:rPr>
              <w:t>Regulatory Affairs</w:t>
            </w:r>
          </w:p>
        </w:tc>
      </w:tr>
      <w:tr>
        <w:trPr>
          <w:trHeight w:val="216" w:hRule="exact"/>
        </w:trPr>
        <w:tc>
          <w:tcPr>
            <w:tcW w:w="1260" w:type="dxa"/>
            <w:tcBorders/>
          </w:tcPr>
          <w:p>
            <w:pPr>
              <w:pStyle w:val="Normal"/>
              <w:snapToGrid w:val="false"/>
              <w:spacing w:before="20" w:after="0"/>
              <w:ind w:firstLine="259" w:start="-187" w:end="0"/>
              <w:jc w:val="both"/>
              <w:rPr>
                <w:rFonts w:ascii="Bookman Old Style" w:hAnsi="Bookman Old Style" w:cs="Bookman Old Style"/>
                <w:sz w:val="22"/>
              </w:rPr>
            </w:pPr>
            <w:r>
              <w:rPr>
                <w:rFonts w:cs="Bookman Old Style" w:ascii="Bookman Old Style" w:hAnsi="Bookman Old Style"/>
                <w:sz w:val="22"/>
              </w:rPr>
            </w:r>
          </w:p>
        </w:tc>
        <w:tc>
          <w:tcPr>
            <w:tcW w:w="4860" w:type="dxa"/>
            <w:tcBorders/>
          </w:tcPr>
          <w:p>
            <w:pPr>
              <w:pStyle w:val="Normal"/>
              <w:snapToGrid w:val="false"/>
              <w:jc w:val="both"/>
              <w:rPr>
                <w:rFonts w:ascii="Bookman Old Style" w:hAnsi="Bookman Old Style" w:cs="Bookman Old Style"/>
                <w:sz w:val="22"/>
              </w:rPr>
            </w:pPr>
            <w:r>
              <w:rPr>
                <w:rFonts w:cs="Bookman Old Style" w:ascii="Bookman Old Style" w:hAnsi="Bookman Old Style"/>
                <w:sz w:val="22"/>
              </w:rPr>
            </w:r>
          </w:p>
        </w:tc>
        <w:tc>
          <w:tcPr>
            <w:tcW w:w="1708" w:type="dxa"/>
            <w:tcBorders/>
          </w:tcPr>
          <w:p>
            <w:pPr>
              <w:pStyle w:val="Normal"/>
              <w:snapToGrid w:val="false"/>
              <w:spacing w:before="20" w:after="0"/>
              <w:ind w:firstLine="29" w:start="-202" w:end="0"/>
              <w:jc w:val="both"/>
              <w:rPr>
                <w:rFonts w:ascii="Bookman Old Style" w:hAnsi="Bookman Old Style" w:cs="Bookman Old Style"/>
                <w:sz w:val="22"/>
              </w:rPr>
            </w:pPr>
            <w:r>
              <w:rPr>
                <w:rFonts w:cs="Bookman Old Style" w:ascii="Bookman Old Style" w:hAnsi="Bookman Old Style"/>
                <w:sz w:val="22"/>
              </w:rPr>
            </w:r>
          </w:p>
        </w:tc>
        <w:tc>
          <w:tcPr>
            <w:tcW w:w="2612" w:type="dxa"/>
            <w:tcBorders/>
          </w:tcPr>
          <w:p>
            <w:pPr>
              <w:pStyle w:val="Normal"/>
              <w:snapToGrid w:val="false"/>
              <w:jc w:val="both"/>
              <w:rPr>
                <w:rFonts w:ascii="Bookman Old Style" w:hAnsi="Bookman Old Style" w:cs="Bookman Old Style"/>
                <w:sz w:val="22"/>
              </w:rPr>
            </w:pPr>
            <w:r>
              <w:rPr>
                <w:rFonts w:cs="Bookman Old Style" w:ascii="Bookman Old Style" w:hAnsi="Bookman Old Style"/>
                <w:sz w:val="22"/>
              </w:rPr>
            </w:r>
          </w:p>
        </w:tc>
      </w:tr>
      <w:tr>
        <w:trPr>
          <w:trHeight w:val="576" w:hRule="exact"/>
        </w:trPr>
        <w:tc>
          <w:tcPr>
            <w:tcW w:w="1260" w:type="dxa"/>
            <w:tcBorders>
              <w:bottom w:val="single" w:sz="18" w:space="0" w:color="000000"/>
            </w:tcBorders>
          </w:tcPr>
          <w:p>
            <w:pPr>
              <w:pStyle w:val="Normal"/>
              <w:spacing w:before="20" w:after="0"/>
              <w:ind w:firstLine="259" w:start="-187" w:end="0"/>
              <w:jc w:val="both"/>
              <w:rPr>
                <w:rFonts w:ascii="Bookman Old Style" w:hAnsi="Bookman Old Style" w:cs="Bookman Old Style"/>
                <w:sz w:val="22"/>
              </w:rPr>
            </w:pPr>
            <w:r>
              <w:rPr>
                <w:rFonts w:cs="Bookman Old Style" w:ascii="Bookman Old Style" w:hAnsi="Bookman Old Style"/>
                <w:sz w:val="22"/>
              </w:rPr>
              <w:t>Subject:</w:t>
            </w:r>
          </w:p>
        </w:tc>
        <w:tc>
          <w:tcPr>
            <w:tcW w:w="4860" w:type="dxa"/>
            <w:tcBorders>
              <w:bottom w:val="single" w:sz="18" w:space="0" w:color="000000"/>
            </w:tcBorders>
          </w:tcPr>
          <w:p>
            <w:pPr>
              <w:pStyle w:val="Subject"/>
              <w:jc w:val="both"/>
              <w:rPr>
                <w:rFonts w:ascii="Bookman Old Style" w:hAnsi="Bookman Old Style" w:cs="Bookman Old Style"/>
                <w:sz w:val="22"/>
              </w:rPr>
            </w:pPr>
            <w:bookmarkStart w:id="2" w:name="Subject"/>
            <w:bookmarkEnd w:id="2"/>
            <w:r>
              <w:rPr>
                <w:rFonts w:cs="Bookman Old Style" w:ascii="Bookman Old Style" w:hAnsi="Bookman Old Style"/>
                <w:sz w:val="22"/>
              </w:rPr>
              <w:t>Significant Events for November second fortnight</w:t>
            </w:r>
          </w:p>
        </w:tc>
        <w:tc>
          <w:tcPr>
            <w:tcW w:w="1708" w:type="dxa"/>
            <w:tcBorders>
              <w:bottom w:val="single" w:sz="18" w:space="0" w:color="000000"/>
            </w:tcBorders>
          </w:tcPr>
          <w:p>
            <w:pPr>
              <w:pStyle w:val="Normal"/>
              <w:spacing w:before="20" w:after="0"/>
              <w:ind w:firstLine="202" w:start="-202" w:end="0"/>
              <w:jc w:val="both"/>
              <w:rPr>
                <w:rFonts w:ascii="Bookman Old Style" w:hAnsi="Bookman Old Style" w:cs="Bookman Old Style"/>
                <w:sz w:val="22"/>
              </w:rPr>
            </w:pPr>
            <w:r>
              <w:rPr>
                <w:rFonts w:cs="Bookman Old Style" w:ascii="Bookman Old Style" w:hAnsi="Bookman Old Style"/>
                <w:sz w:val="22"/>
              </w:rPr>
              <w:t>Date:</w:t>
            </w:r>
          </w:p>
        </w:tc>
        <w:tc>
          <w:tcPr>
            <w:tcW w:w="2612" w:type="dxa"/>
            <w:tcBorders>
              <w:bottom w:val="single" w:sz="18" w:space="0" w:color="000000"/>
            </w:tcBorders>
          </w:tcPr>
          <w:p>
            <w:pPr>
              <w:pStyle w:val="Date"/>
              <w:jc w:val="both"/>
              <w:rPr>
                <w:rFonts w:ascii="Bookman Old Style" w:hAnsi="Bookman Old Style" w:cs="Bookman Old Style"/>
                <w:sz w:val="22"/>
              </w:rPr>
            </w:pPr>
            <w:r>
              <w:rPr>
                <w:rFonts w:cs="Bookman Old Style" w:ascii="Bookman Old Style" w:hAnsi="Bookman Old Style"/>
                <w:sz w:val="22"/>
              </w:rPr>
              <w:t>November 29, 2000</w:t>
            </w:r>
          </w:p>
        </w:tc>
      </w:tr>
    </w:tbl>
    <w:p>
      <w:pPr>
        <w:pStyle w:val="Body"/>
        <w:ind w:start="0" w:end="0"/>
        <w:jc w:val="both"/>
        <w:rPr>
          <w:rFonts w:ascii="Times New Roman" w:hAnsi="Times New Roman" w:cs="Times New Roman"/>
          <w:color w:val="000000"/>
          <w:sz w:val="22"/>
        </w:rPr>
      </w:pPr>
      <w:r>
        <w:rPr>
          <w:rFonts w:cs="Times New Roman" w:ascii="Times New Roman" w:hAnsi="Times New Roman"/>
          <w:color w:val="000000"/>
          <w:sz w:val="22"/>
        </w:rPr>
      </w:r>
      <w:bookmarkStart w:id="3" w:name="StartOfMemo"/>
      <w:bookmarkStart w:id="4" w:name="StartOfMemo"/>
      <w:bookmarkEnd w:id="4"/>
    </w:p>
    <w:p>
      <w:pPr>
        <w:pStyle w:val="Heading1"/>
        <w:ind w:hanging="0" w:start="0"/>
        <w:jc w:val="both"/>
        <w:rPr>
          <w:b w:val="false"/>
          <w:sz w:val="22"/>
        </w:rPr>
      </w:pPr>
      <w:r>
        <w:rPr>
          <w:b w:val="false"/>
          <w:sz w:val="22"/>
        </w:rPr>
        <w:t>Below are the activities of the Government and Regulatory Affairs group for the second fortnight of November, 2000:</w:t>
      </w:r>
    </w:p>
    <w:p>
      <w:pPr>
        <w:pStyle w:val="Heading1"/>
        <w:ind w:hanging="0" w:start="0"/>
        <w:jc w:val="both"/>
        <w:rPr>
          <w:b w:val="false"/>
          <w:sz w:val="22"/>
        </w:rPr>
      </w:pPr>
      <w:r>
        <w:rPr>
          <w:b w:val="false"/>
          <w:sz w:val="22"/>
        </w:rPr>
      </w:r>
    </w:p>
    <w:p>
      <w:pPr>
        <w:pStyle w:val="Heading3"/>
        <w:ind w:hanging="0" w:start="0"/>
        <w:jc w:val="both"/>
        <w:rPr>
          <w:b/>
          <w:sz w:val="22"/>
          <w:u w:val="none"/>
        </w:rPr>
      </w:pPr>
      <w:r>
        <w:rPr>
          <w:b/>
          <w:sz w:val="22"/>
          <w:u w:val="none"/>
        </w:rPr>
        <w:t>Gas</w:t>
      </w:r>
    </w:p>
    <w:p>
      <w:pPr>
        <w:pStyle w:val="Normal"/>
        <w:spacing w:lineRule="atLeast" w:line="240"/>
        <w:jc w:val="both"/>
        <w:rPr>
          <w:rFonts w:ascii="Helv;Arial" w:hAnsi="Helv;Arial" w:cs="Helv;Arial"/>
          <w:b/>
          <w:color w:val="000000"/>
          <w:sz w:val="22"/>
          <w:u w:val="none"/>
          <w:lang w:eastAsia="en-US"/>
        </w:rPr>
      </w:pPr>
      <w:r>
        <w:rPr>
          <w:rFonts w:cs="Helv;Arial" w:ascii="Helv;Arial" w:hAnsi="Helv;Arial"/>
          <w:b/>
          <w:color w:val="000000"/>
          <w:sz w:val="22"/>
          <w:u w:val="none"/>
          <w:lang w:eastAsia="en-US"/>
        </w:rPr>
      </w:r>
    </w:p>
    <w:p>
      <w:pPr>
        <w:pStyle w:val="Normal"/>
        <w:numPr>
          <w:ilvl w:val="0"/>
          <w:numId w:val="15"/>
        </w:numPr>
        <w:spacing w:lineRule="atLeast" w:line="240"/>
        <w:jc w:val="both"/>
        <w:rPr>
          <w:rFonts w:ascii="Bookman Old Style" w:hAnsi="Bookman Old Style" w:cs="Bookman Old Style"/>
          <w:color w:val="000000"/>
          <w:sz w:val="24"/>
          <w:lang w:eastAsia="en-US"/>
        </w:rPr>
      </w:pPr>
      <w:r>
        <w:rPr>
          <w:rFonts w:cs="Bookman Old Style" w:ascii="Bookman Old Style" w:hAnsi="Bookman Old Style"/>
          <w:i/>
          <w:color w:val="000000"/>
          <w:sz w:val="24"/>
          <w:lang w:eastAsia="en-US"/>
        </w:rPr>
        <w:t xml:space="preserve">Open Access principles for Maharashtra. </w:t>
      </w:r>
      <w:r>
        <w:rPr>
          <w:rFonts w:cs="Bookman Old Style" w:ascii="Bookman Old Style" w:hAnsi="Bookman Old Style"/>
          <w:color w:val="000000"/>
          <w:sz w:val="24"/>
          <w:lang w:eastAsia="en-US"/>
        </w:rPr>
        <w:t>Meeting with Rani Jadhav wherein a paper was requested with regard to open access principles that could/should be applied within Maharashtra. The deadline is by the end of the year.  She also requested an appendix to contain some detail on open access models on a country-by-country basis.  Houston regulatory has been included in compiling this paper.</w:t>
      </w:r>
    </w:p>
    <w:p>
      <w:pPr>
        <w:pStyle w:val="Heading1"/>
        <w:ind w:hanging="0" w:start="0"/>
        <w:jc w:val="both"/>
        <w:rPr>
          <w:rFonts w:ascii="Bookman Old Style" w:hAnsi="Bookman Old Style" w:cs="Bookman Old Style"/>
          <w:color w:val="000000"/>
          <w:sz w:val="22"/>
          <w:lang w:eastAsia="en-US"/>
        </w:rPr>
      </w:pPr>
      <w:r>
        <w:rPr>
          <w:rFonts w:cs="Bookman Old Style"/>
          <w:color w:val="000000"/>
          <w:sz w:val="22"/>
          <w:lang w:eastAsia="en-US"/>
        </w:rPr>
      </w:r>
    </w:p>
    <w:p>
      <w:pPr>
        <w:pStyle w:val="Normal"/>
        <w:numPr>
          <w:ilvl w:val="0"/>
          <w:numId w:val="2"/>
        </w:numPr>
        <w:spacing w:lineRule="atLeast" w:line="240"/>
        <w:jc w:val="both"/>
        <w:rPr>
          <w:rFonts w:ascii="Bookman Old Style" w:hAnsi="Bookman Old Style" w:cs="Bookman Old Style"/>
          <w:color w:val="000000"/>
          <w:sz w:val="24"/>
          <w:lang w:eastAsia="en-US"/>
        </w:rPr>
      </w:pPr>
      <w:r>
        <w:rPr>
          <w:rFonts w:cs="Bookman Old Style" w:ascii="Bookman Old Style" w:hAnsi="Bookman Old Style"/>
          <w:i/>
          <w:color w:val="000000"/>
          <w:sz w:val="24"/>
          <w:lang w:eastAsia="en-US"/>
        </w:rPr>
        <w:t xml:space="preserve">Third party access. </w:t>
      </w:r>
      <w:r>
        <w:rPr>
          <w:rFonts w:cs="Bookman Old Style" w:ascii="Bookman Old Style" w:hAnsi="Bookman Old Style"/>
          <w:color w:val="000000"/>
          <w:sz w:val="24"/>
          <w:lang w:eastAsia="en-US"/>
        </w:rPr>
        <w:t xml:space="preserve">Meeting with Metgas personnel with regard to the considerations of opening the terminal and pipeline to third parties.  Will write talking points with regard to open access in the India/TARA context. </w:t>
      </w:r>
    </w:p>
    <w:p>
      <w:pPr>
        <w:pStyle w:val="Normal"/>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r>
    </w:p>
    <w:p>
      <w:pPr>
        <w:pStyle w:val="Normal"/>
        <w:numPr>
          <w:ilvl w:val="0"/>
          <w:numId w:val="9"/>
        </w:numPr>
        <w:spacing w:lineRule="atLeast" w:line="240"/>
        <w:jc w:val="both"/>
        <w:rPr>
          <w:rFonts w:ascii="Bookman Old Style" w:hAnsi="Bookman Old Style" w:cs="Bookman Old Style"/>
          <w:color w:val="000000"/>
          <w:sz w:val="24"/>
          <w:lang w:eastAsia="en-US"/>
        </w:rPr>
      </w:pPr>
      <w:r>
        <w:rPr>
          <w:rFonts w:cs="Bookman Old Style" w:ascii="Bookman Old Style" w:hAnsi="Bookman Old Style"/>
          <w:i/>
          <w:sz w:val="24"/>
          <w:lang w:eastAsia="en-US"/>
        </w:rPr>
        <w:t xml:space="preserve">Gujarat Gas Act. </w:t>
      </w:r>
      <w:r>
        <w:rPr>
          <w:rFonts w:cs="Bookman Old Style" w:ascii="Bookman Old Style" w:hAnsi="Bookman Old Style"/>
          <w:color w:val="000000"/>
          <w:sz w:val="24"/>
          <w:lang w:eastAsia="en-US"/>
        </w:rPr>
        <w:t xml:space="preserve">The Governor of Gujarat, so far, has not given his nod to ordinance for the proposed "Gujarat Gas Act".  According to a reliable source, it seems the Governor has sought legal advice from concerned Ministry/Authorities before approving it. </w:t>
      </w:r>
    </w:p>
    <w:p>
      <w:pPr>
        <w:pStyle w:val="Subject"/>
        <w:jc w:val="both"/>
        <w:rPr>
          <w:rFonts w:ascii="Times New Roman" w:hAnsi="Times New Roman" w:cs="Times New Roman"/>
          <w:color w:val="000000"/>
          <w:sz w:val="24"/>
          <w:lang w:eastAsia="en-CA"/>
        </w:rPr>
      </w:pPr>
      <w:r>
        <w:rPr>
          <w:rFonts w:cs="Times New Roman" w:ascii="Times New Roman" w:hAnsi="Times New Roman"/>
          <w:color w:val="000000"/>
          <w:sz w:val="24"/>
          <w:lang w:eastAsia="en-CA"/>
        </w:rPr>
      </w:r>
    </w:p>
    <w:p>
      <w:pPr>
        <w:pStyle w:val="Normal"/>
        <w:jc w:val="both"/>
        <w:rPr>
          <w:rFonts w:ascii="Times New Roman" w:hAnsi="Times New Roman" w:cs="Times New Roman"/>
          <w:lang w:eastAsia="en-CA"/>
        </w:rPr>
      </w:pPr>
      <w:r>
        <w:rPr>
          <w:rFonts w:cs="Times New Roman"/>
          <w:lang w:eastAsia="en-CA"/>
        </w:rPr>
      </w:r>
    </w:p>
    <w:p>
      <w:pPr>
        <w:pStyle w:val="Heading1"/>
        <w:ind w:hanging="0" w:start="0"/>
        <w:jc w:val="both"/>
        <w:rPr>
          <w:sz w:val="22"/>
        </w:rPr>
      </w:pPr>
      <w:r>
        <w:rPr>
          <w:sz w:val="22"/>
        </w:rPr>
        <w:t>Electricity</w:t>
      </w:r>
    </w:p>
    <w:p>
      <w:pPr>
        <w:pStyle w:val="Normal"/>
        <w:spacing w:lineRule="atLeast" w:line="240"/>
        <w:jc w:val="both"/>
        <w:rPr>
          <w:rFonts w:ascii="Bookman Old Style" w:hAnsi="Bookman Old Style" w:cs="Bookman Old Style"/>
          <w:i/>
          <w:i/>
          <w:color w:val="000000"/>
          <w:sz w:val="22"/>
          <w:lang w:eastAsia="en-US"/>
        </w:rPr>
      </w:pPr>
      <w:r>
        <w:rPr>
          <w:rFonts w:cs="Bookman Old Style" w:ascii="Bookman Old Style" w:hAnsi="Bookman Old Style"/>
          <w:i/>
          <w:color w:val="000000"/>
          <w:sz w:val="22"/>
          <w:lang w:eastAsia="en-US"/>
        </w:rPr>
      </w:r>
    </w:p>
    <w:p>
      <w:pPr>
        <w:pStyle w:val="Normal"/>
        <w:numPr>
          <w:ilvl w:val="0"/>
          <w:numId w:val="14"/>
        </w:numPr>
        <w:spacing w:lineRule="atLeast" w:line="240"/>
        <w:jc w:val="both"/>
        <w:rPr>
          <w:rFonts w:ascii="Bookman Old Style" w:hAnsi="Bookman Old Style" w:cs="Bookman Old Style"/>
          <w:color w:val="000000"/>
          <w:sz w:val="24"/>
          <w:lang w:eastAsia="en-US"/>
        </w:rPr>
      </w:pPr>
      <w:r>
        <w:rPr>
          <w:rFonts w:cs="Bookman Old Style" w:ascii="Bookman Old Style" w:hAnsi="Bookman Old Style"/>
          <w:i/>
          <w:color w:val="000000"/>
          <w:sz w:val="24"/>
          <w:lang w:eastAsia="en-US"/>
        </w:rPr>
        <w:t xml:space="preserve">Meeting in Ministry of Power re DPC PPA.  </w:t>
      </w:r>
      <w:r>
        <w:rPr>
          <w:rFonts w:cs="Bookman Old Style" w:ascii="Bookman Old Style" w:hAnsi="Bookman Old Style"/>
          <w:color w:val="000000"/>
          <w:sz w:val="24"/>
          <w:lang w:eastAsia="en-US"/>
        </w:rPr>
        <w:t xml:space="preserve">Along with Sanjay Bhatnagar, met for 2 ½ hours with Minister of State Mehta.  She mentioned there were a number of questions being raised in the Delhi Lok Sabha on the Dabhol Project, specifically with regard to the Chief Minister’s remarks in connection with the Maharashtra legislative session.  Specifically addressed the tariff and naphtha prices. </w:t>
      </w:r>
    </w:p>
    <w:p>
      <w:pPr>
        <w:pStyle w:val="Normal"/>
        <w:spacing w:lineRule="atLeast" w:line="240"/>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r>
    </w:p>
    <w:p>
      <w:pPr>
        <w:pStyle w:val="Normal"/>
        <w:numPr>
          <w:ilvl w:val="0"/>
          <w:numId w:val="14"/>
        </w:numPr>
        <w:spacing w:lineRule="atLeast" w:line="240"/>
        <w:jc w:val="both"/>
        <w:rPr>
          <w:rFonts w:ascii="Bookman Old Style" w:hAnsi="Bookman Old Style" w:cs="Bookman Old Style"/>
          <w:color w:val="000000"/>
          <w:sz w:val="24"/>
          <w:lang w:eastAsia="en-US"/>
        </w:rPr>
      </w:pPr>
      <w:r>
        <w:rPr>
          <w:rFonts w:cs="Bookman Old Style" w:ascii="Bookman Old Style" w:hAnsi="Bookman Old Style"/>
          <w:i/>
          <w:color w:val="000000"/>
          <w:sz w:val="24"/>
          <w:lang w:eastAsia="en-US"/>
        </w:rPr>
        <w:t>World Economic Forum.</w:t>
      </w:r>
      <w:r>
        <w:rPr>
          <w:rFonts w:cs="Bookman Old Style" w:ascii="Bookman Old Style" w:hAnsi="Bookman Old Style"/>
          <w:color w:val="000000"/>
          <w:sz w:val="24"/>
          <w:lang w:eastAsia="en-US"/>
        </w:rPr>
        <w:t xml:space="preserve">  India summit meetings took place in Delhi Nov. 26-28.  Sanjay Bhatnagar participated in the sectoral discussions on power.  Attended numerous break-out meetings and social functions.  Responded to numerous queries on the Dabhol tariff, explaining effect of crude prices, foreign exchange and low dispatch quantities (which increases the tariff since the fixed costs are spread over fewer units.) </w:t>
      </w:r>
    </w:p>
    <w:p>
      <w:pPr>
        <w:pStyle w:val="Normal"/>
        <w:spacing w:lineRule="atLeast" w:line="240"/>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r>
    </w:p>
    <w:p>
      <w:pPr>
        <w:pStyle w:val="Normal"/>
        <w:numPr>
          <w:ilvl w:val="0"/>
          <w:numId w:val="14"/>
        </w:numPr>
        <w:spacing w:lineRule="atLeast" w:line="240"/>
        <w:jc w:val="both"/>
        <w:rPr>
          <w:rFonts w:ascii="Bookman Old Style" w:hAnsi="Bookman Old Style" w:cs="Bookman Old Style"/>
          <w:color w:val="000000"/>
          <w:sz w:val="24"/>
          <w:lang w:eastAsia="en-US"/>
        </w:rPr>
      </w:pPr>
      <w:r>
        <w:rPr>
          <w:rFonts w:cs="Bookman Old Style" w:ascii="Bookman Old Style" w:hAnsi="Bookman Old Style"/>
          <w:i/>
          <w:color w:val="000000"/>
          <w:sz w:val="24"/>
          <w:lang w:eastAsia="en-US"/>
        </w:rPr>
        <w:t xml:space="preserve">U.S. Department of Commerce Clean Energy Delegation.  </w:t>
      </w:r>
      <w:r>
        <w:rPr>
          <w:rFonts w:cs="Bookman Old Style" w:ascii="Bookman Old Style" w:hAnsi="Bookman Old Style"/>
          <w:color w:val="000000"/>
          <w:sz w:val="24"/>
          <w:lang w:eastAsia="en-US"/>
        </w:rPr>
        <w:t>The DOC Clean Energy Delegation spent three days in Delhi.  Attended multiple meetings and social events functions sponsored by FICCI, CII, AMCHAM and the U.S. Embassy.  Texaco, Ogden and other players in the unconventional energy sector (wind and solar) accompanied the Delegation.  The Trust was looking for partnerships with Indian corporates and government in the area of clean energy and environmental issues.</w:t>
      </w:r>
    </w:p>
    <w:p>
      <w:pPr>
        <w:pStyle w:val="Normal"/>
        <w:spacing w:lineRule="atLeast" w:line="240"/>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r>
    </w:p>
    <w:p>
      <w:pPr>
        <w:pStyle w:val="Normal"/>
        <w:numPr>
          <w:ilvl w:val="0"/>
          <w:numId w:val="14"/>
        </w:numPr>
        <w:spacing w:lineRule="atLeast" w:line="240"/>
        <w:jc w:val="both"/>
        <w:rPr>
          <w:rFonts w:ascii="Bookman Old Style" w:hAnsi="Bookman Old Style" w:cs="Bookman Old Style"/>
          <w:color w:val="000000"/>
          <w:sz w:val="24"/>
          <w:lang w:eastAsia="en-US"/>
        </w:rPr>
      </w:pPr>
      <w:r>
        <w:rPr>
          <w:rFonts w:cs="Bookman Old Style" w:ascii="Bookman Old Style" w:hAnsi="Bookman Old Style"/>
          <w:i/>
          <w:color w:val="000000"/>
          <w:sz w:val="24"/>
          <w:lang w:eastAsia="en-US"/>
        </w:rPr>
        <w:t xml:space="preserve">MSEB Paranjpe MERC proceeding. </w:t>
      </w:r>
      <w:r>
        <w:rPr>
          <w:rFonts w:cs="Bookman Old Style" w:ascii="Bookman Old Style" w:hAnsi="Bookman Old Style"/>
          <w:color w:val="000000"/>
          <w:sz w:val="24"/>
          <w:lang w:eastAsia="en-US"/>
        </w:rPr>
        <w:t>Wrote MSEB’s commercial department’s response to the MERC in the Paranjpe proceeding wherein Paranjpe argues that DPC power is not needed.  The response consisted of  points with regard to MSEB's duty to supply its customers and how this duty interacts with the power purchase instructions from the MERC in its May 5, 2000, order on the last MSEB rate case.  Basically argued that the guideline (that power in addition to what was authorized in the order could be purchased if the average revenue realized is more than the power’s variable costs) is merely a guideline because DPC's variable cost is explicitly expected to float with the price of oil.</w:t>
      </w:r>
    </w:p>
    <w:p>
      <w:pPr>
        <w:pStyle w:val="Footer"/>
        <w:tabs>
          <w:tab w:val="clear" w:pos="4320"/>
          <w:tab w:val="clear" w:pos="8640"/>
        </w:tabs>
        <w:jc w:val="both"/>
        <w:rPr>
          <w:rFonts w:ascii="Bookman Old Style" w:hAnsi="Bookman Old Style" w:cs="Bookman Old Style"/>
          <w:color w:val="000000"/>
          <w:sz w:val="24"/>
          <w:lang w:eastAsia="en-CA"/>
        </w:rPr>
      </w:pPr>
      <w:r>
        <w:rPr>
          <w:rFonts w:cs="Bookman Old Style" w:ascii="Bookman Old Style" w:hAnsi="Bookman Old Style"/>
          <w:color w:val="000000"/>
          <w:sz w:val="24"/>
          <w:lang w:eastAsia="en-CA"/>
        </w:rPr>
      </w:r>
    </w:p>
    <w:p>
      <w:pPr>
        <w:pStyle w:val="Normal"/>
        <w:numPr>
          <w:ilvl w:val="0"/>
          <w:numId w:val="16"/>
        </w:numPr>
        <w:jc w:val="both"/>
        <w:rPr>
          <w:rFonts w:ascii="Bookman Old Style" w:hAnsi="Bookman Old Style" w:cs="Bookman Old Style"/>
          <w:sz w:val="24"/>
        </w:rPr>
      </w:pPr>
      <w:r>
        <w:rPr>
          <w:rFonts w:cs="Bookman Old Style" w:ascii="Bookman Old Style" w:hAnsi="Bookman Old Style"/>
          <w:i/>
          <w:color w:val="000000"/>
          <w:sz w:val="24"/>
          <w:lang w:eastAsia="en-US"/>
        </w:rPr>
        <w:t>Third Party Sales.</w:t>
      </w:r>
      <w:r>
        <w:rPr>
          <w:rFonts w:cs="Bookman Old Style" w:ascii="Bookman Old Style" w:hAnsi="Bookman Old Style"/>
          <w:color w:val="000000"/>
          <w:sz w:val="24"/>
          <w:lang w:eastAsia="en-US"/>
        </w:rPr>
        <w:t xml:space="preserve"> Assisted in determining MSEB's ability to pay by determining the revenue forecast for the coming 2 years.  The methodology is based on determining the sales figures, the cost of service and the likely revenues.  The revenue-cost differential is a proxy to MSEB's ability to pay. Also, advised on possible parametric measure for the suitability of the regulatory regimen for power marketing.  Data collection is currently in progress.</w:t>
      </w:r>
    </w:p>
    <w:p>
      <w:pPr>
        <w:pStyle w:val="Heading1"/>
        <w:ind w:hanging="0" w:start="0"/>
        <w:jc w:val="both"/>
        <w:rPr>
          <w:rFonts w:ascii="Bookman Old Style" w:hAnsi="Bookman Old Style" w:cs="Bookman Old Style"/>
          <w:color w:val="auto"/>
          <w:sz w:val="22"/>
        </w:rPr>
      </w:pPr>
      <w:r>
        <w:rPr>
          <w:rFonts w:cs="Bookman Old Style"/>
          <w:color w:val="auto"/>
          <w:sz w:val="22"/>
        </w:rPr>
      </w:r>
    </w:p>
    <w:p>
      <w:pPr>
        <w:pStyle w:val="BodyText"/>
        <w:numPr>
          <w:ilvl w:val="0"/>
          <w:numId w:val="17"/>
        </w:numPr>
        <w:jc w:val="both"/>
        <w:rPr/>
      </w:pPr>
      <w:r>
        <w:rPr>
          <w:i/>
        </w:rPr>
        <w:t>MSEB rate filing.</w:t>
      </w:r>
      <w:r>
        <w:rPr/>
        <w:t xml:space="preserve"> In the context of the proposed rate filing to MERC, load forecast for MSEB for the coming two years was estimated after identifying the likely growth rates for different customer classes.  The resultant sales figures were extrapolated (adding losses and served loads) to the likely dispatch figures from different generation alternatives available for MSEB. Compiled end-use (highest - Industrial - HT) tariff in connection with comparison of SEBs.</w:t>
      </w:r>
    </w:p>
    <w:p>
      <w:pPr>
        <w:pStyle w:val="Normal"/>
        <w:jc w:val="both"/>
        <w:rPr/>
      </w:pPr>
      <w:r>
        <w:rPr/>
      </w:r>
    </w:p>
    <w:p>
      <w:pPr>
        <w:pStyle w:val="Normal"/>
        <w:numPr>
          <w:ilvl w:val="0"/>
          <w:numId w:val="8"/>
        </w:numPr>
        <w:spacing w:lineRule="atLeast" w:line="240"/>
        <w:jc w:val="both"/>
        <w:rPr>
          <w:rFonts w:ascii="Bookman Old Style" w:hAnsi="Bookman Old Style" w:cs="Bookman Old Style"/>
          <w:color w:val="000000"/>
          <w:sz w:val="24"/>
          <w:lang w:eastAsia="en-US"/>
        </w:rPr>
      </w:pPr>
      <w:r>
        <w:rPr>
          <w:rFonts w:cs="Bookman Old Style" w:ascii="Bookman Old Style" w:hAnsi="Bookman Old Style"/>
          <w:i/>
          <w:color w:val="000000"/>
          <w:sz w:val="24"/>
          <w:lang w:eastAsia="en-US"/>
        </w:rPr>
        <w:t>Draft Electricity Bill 2000.</w:t>
      </w:r>
      <w:r>
        <w:rPr>
          <w:rFonts w:cs="Bookman Old Style" w:ascii="Bookman Old Style" w:hAnsi="Bookman Old Style"/>
          <w:color w:val="000000"/>
          <w:sz w:val="24"/>
          <w:lang w:eastAsia="en-US"/>
        </w:rPr>
        <w:t xml:space="preserve"> Ministry of Power has convened a meeting of Power Secretaries of all the states on 30th November, to discuss the Bill. </w:t>
      </w:r>
    </w:p>
    <w:p>
      <w:pPr>
        <w:pStyle w:val="Normal"/>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r>
    </w:p>
    <w:p>
      <w:pPr>
        <w:pStyle w:val="Normal"/>
        <w:numPr>
          <w:ilvl w:val="0"/>
          <w:numId w:val="5"/>
        </w:numPr>
        <w:spacing w:lineRule="atLeast" w:line="240"/>
        <w:jc w:val="both"/>
        <w:rPr>
          <w:rFonts w:ascii="Bookman Old Style" w:hAnsi="Bookman Old Style" w:cs="Bookman Old Style"/>
          <w:i/>
          <w:i/>
          <w:sz w:val="24"/>
          <w:lang w:eastAsia="en-US"/>
        </w:rPr>
      </w:pPr>
      <w:r>
        <w:rPr>
          <w:rFonts w:cs="Bookman Old Style" w:ascii="Bookman Old Style" w:hAnsi="Bookman Old Style"/>
          <w:i/>
          <w:sz w:val="24"/>
          <w:lang w:eastAsia="en-US"/>
        </w:rPr>
        <w:t xml:space="preserve">Gujarat Electricity Regulatory Commission (GERC) </w:t>
      </w:r>
    </w:p>
    <w:p>
      <w:pPr>
        <w:pStyle w:val="Normal"/>
        <w:spacing w:lineRule="atLeast" w:line="240"/>
        <w:ind w:hanging="360" w:start="720" w:end="0"/>
        <w:jc w:val="both"/>
        <w:rPr/>
      </w:pPr>
      <w:r>
        <w:rPr>
          <w:rFonts w:cs="Bookman Old Style" w:ascii="Bookman Old Style" w:hAnsi="Bookman Old Style"/>
          <w:b/>
          <w:sz w:val="24"/>
          <w:lang w:eastAsia="en-US"/>
        </w:rPr>
        <w:t xml:space="preserve">-   </w:t>
      </w:r>
      <w:r>
        <w:rPr>
          <w:rFonts w:cs="Bookman Old Style" w:ascii="Bookman Old Style" w:hAnsi="Bookman Old Style"/>
          <w:color w:val="000000"/>
          <w:sz w:val="24"/>
          <w:lang w:eastAsia="en-US"/>
        </w:rPr>
        <w:t xml:space="preserve">Most industrial units across the state observed a strike on Tuesday, 28 November 2000, in protest against the "Power Tariff Hike Award" ordered on the recommendations of the GERC. </w:t>
      </w:r>
    </w:p>
    <w:p>
      <w:pPr>
        <w:pStyle w:val="Normal"/>
        <w:spacing w:lineRule="atLeast" w:line="240"/>
        <w:ind w:hanging="720" w:start="720" w:end="0"/>
        <w:jc w:val="both"/>
        <w:rPr/>
      </w:pPr>
      <w:r>
        <w:rPr>
          <w:rFonts w:eastAsia="Bookman Old Style" w:cs="Bookman Old Style" w:ascii="Bookman Old Style" w:hAnsi="Bookman Old Style"/>
          <w:color w:val="000000"/>
          <w:sz w:val="24"/>
          <w:lang w:eastAsia="en-US"/>
        </w:rPr>
        <w:t xml:space="preserve">    </w:t>
      </w:r>
      <w:r>
        <w:rPr>
          <w:rFonts w:cs="Bookman Old Style" w:ascii="Bookman Old Style" w:hAnsi="Bookman Old Style"/>
          <w:b/>
          <w:color w:val="000000"/>
          <w:sz w:val="24"/>
          <w:lang w:eastAsia="en-US"/>
        </w:rPr>
        <w:t xml:space="preserve">-   </w:t>
      </w:r>
      <w:r>
        <w:rPr>
          <w:rFonts w:cs="Bookman Old Style" w:ascii="Bookman Old Style" w:hAnsi="Bookman Old Style"/>
          <w:color w:val="000000"/>
          <w:sz w:val="24"/>
          <w:lang w:eastAsia="en-US"/>
        </w:rPr>
        <w:t xml:space="preserve">According to the Industry Groups, the hike will break the backbone of the industry, which is already reeling under recession. A forum of Federations and Chambers Associations of Industries in Gujarat (FFCAIG) has been formed to organize the strike and take up the matter with the authorities. </w:t>
      </w:r>
    </w:p>
    <w:p>
      <w:pPr>
        <w:pStyle w:val="Normal"/>
        <w:spacing w:lineRule="atLeast" w:line="240"/>
        <w:ind w:hanging="720" w:start="720" w:end="0"/>
        <w:jc w:val="both"/>
        <w:rPr/>
      </w:pPr>
      <w:r>
        <w:rPr>
          <w:rFonts w:eastAsia="Bookman Old Style" w:cs="Bookman Old Style" w:ascii="Bookman Old Style" w:hAnsi="Bookman Old Style"/>
          <w:color w:val="000000"/>
          <w:sz w:val="24"/>
          <w:lang w:eastAsia="en-US"/>
        </w:rPr>
        <w:t xml:space="preserve">    </w:t>
      </w:r>
      <w:r>
        <w:rPr>
          <w:rFonts w:cs="Bookman Old Style" w:ascii="Bookman Old Style" w:hAnsi="Bookman Old Style"/>
          <w:b/>
          <w:color w:val="000000"/>
          <w:sz w:val="24"/>
          <w:lang w:eastAsia="en-US"/>
        </w:rPr>
        <w:t xml:space="preserve">-  </w:t>
      </w:r>
      <w:r>
        <w:rPr>
          <w:rFonts w:cs="Bookman Old Style" w:ascii="Bookman Old Style" w:hAnsi="Bookman Old Style"/>
          <w:color w:val="000000"/>
          <w:sz w:val="24"/>
          <w:lang w:eastAsia="en-US"/>
        </w:rPr>
        <w:t xml:space="preserve">The GERC has withheld its power tariff award dated October 10, following review applications filed by Gujarat Chamber of Commerce and Industry (GCCI) and Bharatiya Kisan Sangh (BKS). GERC has now asked GEB to file its reply to the review applications by December 11, 2000. </w:t>
      </w:r>
    </w:p>
    <w:p>
      <w:pPr>
        <w:pStyle w:val="Normal"/>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r>
    </w:p>
    <w:p>
      <w:pPr>
        <w:pStyle w:val="Normal"/>
        <w:jc w:val="both"/>
        <w:rPr/>
      </w:pPr>
      <w:r>
        <w:rPr/>
      </w:r>
    </w:p>
    <w:p>
      <w:pPr>
        <w:pStyle w:val="Heading5"/>
        <w:numPr>
          <w:ilvl w:val="0"/>
          <w:numId w:val="3"/>
        </w:numPr>
        <w:jc w:val="both"/>
        <w:rPr>
          <w:rFonts w:ascii="Bookman Old Style" w:hAnsi="Bookman Old Style" w:cs="Bookman Old Style"/>
          <w:sz w:val="24"/>
        </w:rPr>
      </w:pPr>
      <w:r>
        <w:rPr>
          <w:rFonts w:cs="Bookman Old Style" w:ascii="Bookman Old Style" w:hAnsi="Bookman Old Style"/>
          <w:sz w:val="24"/>
        </w:rPr>
        <w:t xml:space="preserve">Energy Exchange. </w:t>
      </w:r>
      <w:r>
        <w:rPr>
          <w:rFonts w:cs="Bookman Old Style" w:ascii="Bookman Old Style" w:hAnsi="Bookman Old Style"/>
          <w:i w:val="false"/>
          <w:sz w:val="24"/>
        </w:rPr>
        <w:t xml:space="preserve">Gujarat State Fuel Management Company (GSFMC), a subsidiary of Gujarat State Petroleum Corporation (GSPC), is in the process of setting up the first "Energy Exchange" in the country. The exchange is expected to be operational from April next year and will work as a neutral exchange for all the energy companies wanting to trade in all the fuels allowed under the OGL. Among the fuels expected to be traded on the exchange are naphtha, furnace oil, coal, LDO, SKO and LSHS. </w:t>
      </w:r>
      <w:r>
        <w:rPr>
          <w:rFonts w:cs="Bookman Old Style" w:ascii="Bookman Old Style" w:hAnsi="Bookman Old Style"/>
          <w:sz w:val="24"/>
        </w:rPr>
        <w:t xml:space="preserve">  </w:t>
      </w:r>
    </w:p>
    <w:p>
      <w:pPr>
        <w:pStyle w:val="Normal"/>
        <w:spacing w:lineRule="atLeast" w:line="240"/>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r>
    </w:p>
    <w:p>
      <w:pPr>
        <w:pStyle w:val="BodyTextIndent"/>
        <w:jc w:val="both"/>
        <w:rPr/>
      </w:pPr>
      <w:r>
        <w:rPr/>
        <w:t xml:space="preserve">According to the MD, GSPC, the exchange is going to be a generic exchange which will be later linked to international energy exchanges after market determined fuel pricing scenario is in place. The exchange could even witness trading in natural gas and even power sometime in future. </w:t>
      </w:r>
    </w:p>
    <w:p>
      <w:pPr>
        <w:pStyle w:val="Heading1"/>
        <w:ind w:hanging="0" w:start="0"/>
        <w:jc w:val="both"/>
        <w:rPr>
          <w:color w:val="auto"/>
          <w:sz w:val="22"/>
        </w:rPr>
      </w:pPr>
      <w:r>
        <w:rPr>
          <w:color w:val="auto"/>
          <w:sz w:val="22"/>
        </w:rPr>
      </w:r>
    </w:p>
    <w:p>
      <w:pPr>
        <w:pStyle w:val="Heading1"/>
        <w:ind w:hanging="0" w:start="0"/>
        <w:jc w:val="both"/>
        <w:rPr>
          <w:color w:val="auto"/>
          <w:sz w:val="22"/>
        </w:rPr>
      </w:pPr>
      <w:r>
        <w:rPr>
          <w:color w:val="auto"/>
          <w:sz w:val="22"/>
        </w:rPr>
      </w:r>
    </w:p>
    <w:p>
      <w:pPr>
        <w:pStyle w:val="Heading1"/>
        <w:ind w:hanging="0" w:start="0"/>
        <w:jc w:val="both"/>
        <w:rPr>
          <w:color w:val="auto"/>
        </w:rPr>
      </w:pPr>
      <w:r>
        <w:rPr>
          <w:color w:val="auto"/>
        </w:rPr>
        <w:t>Communications</w:t>
      </w:r>
    </w:p>
    <w:p>
      <w:pPr>
        <w:pStyle w:val="Normal"/>
        <w:keepLines/>
        <w:tabs>
          <w:tab w:val="clear" w:pos="720"/>
          <w:tab w:val="left" w:pos="2227" w:leader="none"/>
        </w:tabs>
        <w:spacing w:lineRule="atLeast" w:line="240"/>
        <w:jc w:val="both"/>
        <w:rPr>
          <w:rFonts w:ascii="Bookman Old Style" w:hAnsi="Bookman Old Style" w:cs="Bookman Old Style"/>
          <w:i/>
          <w:i/>
          <w:color w:val="FF0000"/>
          <w:sz w:val="22"/>
          <w:lang w:eastAsia="en-US"/>
        </w:rPr>
      </w:pPr>
      <w:r>
        <w:rPr>
          <w:rFonts w:cs="Bookman Old Style" w:ascii="Bookman Old Style" w:hAnsi="Bookman Old Style"/>
          <w:i/>
          <w:color w:val="FF0000"/>
          <w:sz w:val="22"/>
          <w:lang w:eastAsia="en-US"/>
        </w:rPr>
      </w:r>
    </w:p>
    <w:p>
      <w:pPr>
        <w:pStyle w:val="Normal"/>
        <w:numPr>
          <w:ilvl w:val="0"/>
          <w:numId w:val="4"/>
        </w:numPr>
        <w:spacing w:lineRule="atLeast" w:line="240"/>
        <w:jc w:val="both"/>
        <w:rPr>
          <w:rFonts w:ascii="Bookman Old Style" w:hAnsi="Bookman Old Style" w:cs="Bookman Old Style"/>
          <w:color w:val="000000"/>
          <w:sz w:val="24"/>
          <w:lang w:eastAsia="en-US"/>
        </w:rPr>
      </w:pPr>
      <w:r>
        <w:rPr>
          <w:rFonts w:cs="Bookman Old Style" w:ascii="Bookman Old Style" w:hAnsi="Bookman Old Style"/>
          <w:i/>
          <w:color w:val="000000"/>
          <w:sz w:val="24"/>
          <w:lang w:eastAsia="en-US"/>
        </w:rPr>
        <w:t xml:space="preserve">Broadband Trading in India. </w:t>
      </w:r>
      <w:r>
        <w:rPr>
          <w:rFonts w:cs="Bookman Old Style" w:ascii="Bookman Old Style" w:hAnsi="Bookman Old Style"/>
          <w:color w:val="000000"/>
          <w:sz w:val="24"/>
          <w:lang w:eastAsia="en-US"/>
        </w:rPr>
        <w:t xml:space="preserve">Continued regulatory due diligence process with regard to the ability to trade broadband in India.  In fact, the TRAI comments on the guidelines for National Long Distance (from which the guidelines were created) specifically provide that resale of capacity would occur after 3-4 years.  </w:t>
      </w:r>
    </w:p>
    <w:p>
      <w:pPr>
        <w:pStyle w:val="Heading2"/>
        <w:ind w:hanging="0" w:start="0"/>
        <w:jc w:val="both"/>
        <w:rPr>
          <w:rFonts w:ascii="Bookman Old Style" w:hAnsi="Bookman Old Style" w:cs="Bookman Old Style"/>
          <w:b w:val="false"/>
          <w:color w:val="000000"/>
          <w:sz w:val="22"/>
          <w:lang w:eastAsia="en-US"/>
        </w:rPr>
      </w:pPr>
      <w:r>
        <w:rPr>
          <w:rFonts w:cs="Bookman Old Style" w:ascii="Bookman Old Style" w:hAnsi="Bookman Old Style"/>
          <w:b w:val="false"/>
          <w:color w:val="000000"/>
          <w:sz w:val="22"/>
          <w:lang w:eastAsia="en-US"/>
        </w:rPr>
      </w:r>
    </w:p>
    <w:p>
      <w:pPr>
        <w:pStyle w:val="Normal"/>
        <w:numPr>
          <w:ilvl w:val="0"/>
          <w:numId w:val="11"/>
        </w:numPr>
        <w:spacing w:lineRule="atLeast" w:line="240"/>
        <w:jc w:val="both"/>
        <w:rPr/>
      </w:pPr>
      <w:r>
        <w:rPr>
          <w:rFonts w:cs="Bookman Old Style" w:ascii="Bookman Old Style" w:hAnsi="Bookman Old Style"/>
          <w:i/>
          <w:color w:val="000000"/>
          <w:sz w:val="24"/>
          <w:lang w:eastAsia="en-US"/>
        </w:rPr>
        <w:t xml:space="preserve">World-wide regulatory conference call. </w:t>
      </w:r>
      <w:r>
        <w:rPr>
          <w:rFonts w:cs="Bookman Old Style" w:ascii="Bookman Old Style" w:hAnsi="Bookman Old Style"/>
          <w:color w:val="000000"/>
          <w:sz w:val="24"/>
          <w:lang w:eastAsia="en-US"/>
        </w:rPr>
        <w:t>Participated in world-wide regulatory conference call that centered around the issue of when communication sector activity is providing a service and when it is facilities based.  (In U.S., measures are whether pipe is provided for data to be moved by someone else or whether the service provider is doing something to the data, such as encoding or storing data.]</w:t>
      </w:r>
    </w:p>
    <w:p>
      <w:pPr>
        <w:pStyle w:val="Normal"/>
        <w:keepLines/>
        <w:tabs>
          <w:tab w:val="clear" w:pos="720"/>
          <w:tab w:val="left" w:pos="827" w:leader="none"/>
        </w:tabs>
        <w:spacing w:lineRule="atLeast" w:line="240"/>
        <w:jc w:val="both"/>
        <w:rPr/>
      </w:pPr>
      <w:r>
        <w:rPr/>
      </w:r>
    </w:p>
    <w:p>
      <w:pPr>
        <w:pStyle w:val="Normal"/>
        <w:keepLines/>
        <w:numPr>
          <w:ilvl w:val="0"/>
          <w:numId w:val="10"/>
        </w:numPr>
        <w:tabs>
          <w:tab w:val="clear" w:pos="720"/>
          <w:tab w:val="left" w:pos="827" w:leader="none"/>
        </w:tabs>
        <w:spacing w:lineRule="atLeast" w:line="240"/>
        <w:jc w:val="both"/>
        <w:rPr>
          <w:rFonts w:ascii="Bookman Old Style" w:hAnsi="Bookman Old Style" w:cs="Bookman Old Style"/>
          <w:color w:val="000000"/>
          <w:sz w:val="24"/>
          <w:lang w:eastAsia="en-US"/>
        </w:rPr>
      </w:pPr>
      <w:r>
        <w:rPr>
          <w:rFonts w:cs="Bookman Old Style" w:ascii="Bookman Old Style" w:hAnsi="Bookman Old Style"/>
          <w:i/>
          <w:color w:val="000000"/>
          <w:sz w:val="24"/>
          <w:lang w:eastAsia="en-US"/>
        </w:rPr>
        <w:t>EBS Middle East.</w:t>
      </w:r>
      <w:r>
        <w:rPr>
          <w:rFonts w:cs="Bookman Old Style" w:ascii="Bookman Old Style" w:hAnsi="Bookman Old Style"/>
          <w:color w:val="000000"/>
          <w:sz w:val="24"/>
          <w:lang w:eastAsia="en-US"/>
        </w:rPr>
        <w:t xml:space="preserve"> Provided regulatory and technical assistance for EBS efforts in the Middle East during a country visit with the Development Team.  The following meetings were conducted to compile the pertinent information: Mckinsey &amp; Co., the Dubai Port Authority, the Marina Development, Flag Fiber Optic Commercial Management, the Incumbent Telecommunication Utility, the Local Lawyer, Dubai Internet City.  A detailed report is in progress. </w:t>
      </w:r>
    </w:p>
    <w:p>
      <w:pPr>
        <w:pStyle w:val="Normal"/>
        <w:keepLines/>
        <w:tabs>
          <w:tab w:val="clear" w:pos="720"/>
          <w:tab w:val="left" w:pos="827" w:leader="none"/>
        </w:tabs>
        <w:spacing w:lineRule="atLeast" w:line="240"/>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r>
    </w:p>
    <w:p>
      <w:pPr>
        <w:pStyle w:val="Normal"/>
        <w:numPr>
          <w:ilvl w:val="0"/>
          <w:numId w:val="12"/>
        </w:numPr>
        <w:jc w:val="both"/>
        <w:rPr>
          <w:rFonts w:ascii="Bookman Old Style" w:hAnsi="Bookman Old Style" w:cs="Bookman Old Style"/>
          <w:color w:val="000000"/>
          <w:sz w:val="24"/>
          <w:lang w:eastAsia="en-US"/>
        </w:rPr>
      </w:pPr>
      <w:r>
        <w:rPr>
          <w:rFonts w:cs="Bookman Old Style" w:ascii="Bookman Old Style" w:hAnsi="Bookman Old Style"/>
          <w:i/>
          <w:color w:val="000000"/>
          <w:sz w:val="24"/>
          <w:lang w:eastAsia="en-US"/>
        </w:rPr>
        <w:t>i2 Agreement.</w:t>
      </w:r>
      <w:r>
        <w:rPr>
          <w:rFonts w:cs="Bookman Old Style" w:ascii="Bookman Old Style" w:hAnsi="Bookman Old Style"/>
          <w:color w:val="000000"/>
          <w:sz w:val="24"/>
          <w:lang w:eastAsia="en-US"/>
        </w:rPr>
        <w:t xml:space="preserve"> Participated in a conference call organized by LaRence B. Snowden of EBS (Structuring) to discuss India’s role in the EBS – i2 Network Services Agreement.</w:t>
      </w:r>
    </w:p>
    <w:p>
      <w:pPr>
        <w:pStyle w:val="Normal"/>
        <w:spacing w:lineRule="atLeast" w:line="240"/>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r>
    </w:p>
    <w:p>
      <w:pPr>
        <w:pStyle w:val="Normal"/>
        <w:numPr>
          <w:ilvl w:val="0"/>
          <w:numId w:val="13"/>
        </w:numPr>
        <w:spacing w:before="120" w:after="120"/>
        <w:jc w:val="both"/>
        <w:rPr>
          <w:rFonts w:ascii="Bookman Old Style" w:hAnsi="Bookman Old Style" w:cs="Bookman Old Style"/>
          <w:sz w:val="24"/>
        </w:rPr>
      </w:pPr>
      <w:r>
        <w:rPr>
          <w:rFonts w:cs="Bookman Old Style" w:ascii="Bookman Old Style" w:hAnsi="Bookman Old Style"/>
          <w:i/>
          <w:sz w:val="24"/>
        </w:rPr>
        <w:t>Telecommunications status paper.</w:t>
      </w:r>
      <w:r>
        <w:rPr>
          <w:rFonts w:cs="Bookman Old Style" w:ascii="Bookman Old Style" w:hAnsi="Bookman Old Style"/>
          <w:sz w:val="24"/>
        </w:rPr>
        <w:t xml:space="preserve"> Currently working on the status paper on telecommunications in the format that will be used by regulatory groups in each country.  Houston will use these reports to compile a database</w:t>
      </w:r>
    </w:p>
    <w:p>
      <w:pPr>
        <w:pStyle w:val="Normal"/>
        <w:spacing w:lineRule="atLeast" w:line="240"/>
        <w:jc w:val="both"/>
        <w:rPr>
          <w:rFonts w:ascii="Bookman Old Style" w:hAnsi="Bookman Old Style" w:cs="Bookman Old Style"/>
          <w:sz w:val="24"/>
        </w:rPr>
      </w:pPr>
      <w:r>
        <w:rPr>
          <w:rFonts w:cs="Bookman Old Style" w:ascii="Bookman Old Style" w:hAnsi="Bookman Old Style"/>
          <w:sz w:val="24"/>
        </w:rPr>
      </w:r>
    </w:p>
    <w:p>
      <w:pPr>
        <w:pStyle w:val="Normal"/>
        <w:numPr>
          <w:ilvl w:val="0"/>
          <w:numId w:val="6"/>
        </w:numPr>
        <w:spacing w:lineRule="atLeast" w:line="240"/>
        <w:jc w:val="both"/>
        <w:rPr>
          <w:rFonts w:ascii="Bookman Old Style" w:hAnsi="Bookman Old Style" w:cs="Bookman Old Style"/>
          <w:color w:val="000000"/>
          <w:sz w:val="24"/>
          <w:lang w:eastAsia="en-US"/>
        </w:rPr>
      </w:pPr>
      <w:r>
        <w:rPr>
          <w:rFonts w:cs="Bookman Old Style" w:ascii="Bookman Old Style" w:hAnsi="Bookman Old Style"/>
          <w:i/>
          <w:color w:val="000000"/>
          <w:sz w:val="24"/>
          <w:lang w:eastAsia="en-US"/>
        </w:rPr>
        <w:t xml:space="preserve">AMCHAM/AT&amp;T regulatory activity. </w:t>
      </w:r>
      <w:r>
        <w:rPr>
          <w:rFonts w:cs="Bookman Old Style" w:ascii="Bookman Old Style" w:hAnsi="Bookman Old Style"/>
          <w:color w:val="000000"/>
          <w:sz w:val="24"/>
          <w:lang w:eastAsia="en-US"/>
        </w:rPr>
        <w:t xml:space="preserve">Met with AT&amp;T regional head Virat Bhatia regarding the AMCHAM/AT&amp;T regulatory activity to date and Enron's participation therein.  Discussed the filing of comments on ICE Bill, the Communications Bill, and the IP-2 contract.  </w:t>
      </w:r>
    </w:p>
    <w:p>
      <w:pPr>
        <w:pStyle w:val="Normal"/>
        <w:keepLines/>
        <w:tabs>
          <w:tab w:val="clear" w:pos="720"/>
          <w:tab w:val="left" w:pos="827" w:leader="none"/>
        </w:tabs>
        <w:spacing w:lineRule="atLeast" w:line="240"/>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r>
    </w:p>
    <w:p>
      <w:pPr>
        <w:pStyle w:val="Normal"/>
        <w:numPr>
          <w:ilvl w:val="0"/>
          <w:numId w:val="7"/>
        </w:numPr>
        <w:spacing w:lineRule="atLeast" w:line="240"/>
        <w:jc w:val="both"/>
        <w:rPr>
          <w:sz w:val="24"/>
        </w:rPr>
      </w:pPr>
      <w:r>
        <w:rPr>
          <w:rFonts w:cs="Bookman Old Style" w:ascii="Bookman Old Style" w:hAnsi="Bookman Old Style"/>
          <w:i/>
          <w:sz w:val="24"/>
        </w:rPr>
        <w:t>Communication Bill 2000.</w:t>
      </w:r>
      <w:r>
        <w:rPr>
          <w:rFonts w:cs="Bookman Old Style" w:ascii="Bookman Old Style" w:hAnsi="Bookman Old Style"/>
          <w:sz w:val="24"/>
        </w:rPr>
        <w:t xml:space="preserve"> Reviewed the Communication Bill 2000 and currently preparing the comments to the same. </w:t>
      </w:r>
    </w:p>
    <w:p>
      <w:pPr>
        <w:pStyle w:val="Normal"/>
        <w:spacing w:lineRule="atLeast" w:line="240"/>
        <w:jc w:val="both"/>
        <w:rPr>
          <w:sz w:val="24"/>
        </w:rPr>
      </w:pPr>
      <w:r>
        <w:rPr>
          <w:sz w:val="24"/>
        </w:rPr>
      </w:r>
    </w:p>
    <w:p>
      <w:pPr>
        <w:pStyle w:val="Normal"/>
        <w:numPr>
          <w:ilvl w:val="0"/>
          <w:numId w:val="7"/>
        </w:numPr>
        <w:spacing w:lineRule="atLeast" w:line="240"/>
        <w:jc w:val="both"/>
        <w:rPr>
          <w:sz w:val="24"/>
        </w:rPr>
      </w:pPr>
      <w:r>
        <w:rPr>
          <w:rFonts w:cs="Bookman Old Style" w:ascii="Bookman Old Style" w:hAnsi="Bookman Old Style"/>
          <w:i/>
          <w:sz w:val="24"/>
        </w:rPr>
        <w:t>ROWs for laying OFC</w:t>
      </w:r>
      <w:r>
        <w:rPr>
          <w:rFonts w:cs="Bookman Old Style" w:ascii="Bookman Old Style" w:hAnsi="Bookman Old Style"/>
          <w:sz w:val="24"/>
        </w:rPr>
        <w:t>. The IT Department of Government of Gujarat is most likely to issue guidelines this week, for granting ROWs to ISP licence holders, Infrastructure Developers and Mobile Service Providers to lay OFC on National/State Highways in Gujarat, at no charge except bank guarantee of Rs.25/- per meter.  Once these guidelines are in place, our application seeking ROWs on National/State highways in Gujarat will be processed</w:t>
      </w:r>
      <w:r>
        <w:rPr>
          <w:sz w:val="24"/>
        </w:rPr>
        <w:t xml:space="preserve">.  </w:t>
      </w:r>
    </w:p>
    <w:sectPr>
      <w:headerReference w:type="default" r:id="rId3"/>
      <w:headerReference w:type="first" r:id="rId4"/>
      <w:footerReference w:type="default" r:id="rId5"/>
      <w:footerReference w:type="first" r:id="rId6"/>
      <w:type w:val="nextPage"/>
      <w:pgSz w:w="12240" w:h="15840"/>
      <w:pgMar w:left="1440" w:right="1620" w:gutter="0" w:header="720" w:top="1440" w:footer="360" w:bottom="12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900" w:leader="none"/>
        <w:tab w:val="left" w:pos="3060" w:leader="none"/>
        <w:tab w:val="left" w:pos="5220" w:leader="none"/>
        <w:tab w:val="left" w:pos="7740" w:leader="none"/>
      </w:tabs>
      <w:ind w:end="360"/>
      <w:rPr>
        <w:sz w:val="16"/>
      </w:rPr>
    </w:pPr>
    <w:r>
      <w:rPr>
        <w:b/>
        <w:sz w:val="16"/>
      </w:rPr>
      <w:tab/>
      <w:t>Respect</w:t>
      <w:tab/>
      <w:t>Integrity</w:t>
      <w:tab/>
      <w:t>Communication</w:t>
      <w:tab/>
      <w:t>Excellence</w:t>
      <w:tab/>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85090"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452.3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900" w:leader="none"/>
        <w:tab w:val="left" w:pos="3060" w:leader="none"/>
        <w:tab w:val="left" w:pos="5220" w:leader="none"/>
        <w:tab w:val="left" w:pos="792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clear" w:pos="8640"/>
        <w:tab w:val="right" w:pos="9360" w:leader="none"/>
      </w:tabs>
      <w:rPr>
        <w:sz w:val="16"/>
      </w:rPr>
    </w:pPr>
    <w:r>
      <w:rPr>
        <w:sz w:val="16"/>
      </w:rPr>
      <w:t>Form 000-469-E(7/92)</w:t>
      <w:tab/>
      <w:t>rab/word/sig_events/sig_082099.doc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sz w:val="20"/>
      </w:rPr>
      <w:tab/>
      <w:tab/>
      <w:t xml:space="preserve">Page </w:t>
    </w:r>
    <w:r>
      <w:rPr>
        <w:sz w:val="20"/>
      </w:rPr>
      <w:fldChar w:fldCharType="begin"/>
    </w:r>
    <w:r>
      <w:rPr>
        <w:sz w:val="20"/>
      </w:rPr>
      <w:instrText xml:space="preserve"> PAGE </w:instrText>
    </w:r>
    <w:r>
      <w:rPr>
        <w:sz w:val="20"/>
      </w:rPr>
      <w:fldChar w:fldCharType="separate"/>
    </w:r>
    <w:r>
      <w:rPr>
        <w:sz w:val="20"/>
      </w:rPr>
      <w:t>4</w:t>
    </w:r>
    <w:r>
      <w:rP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104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104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2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bullet"/>
      <w:lvlText w:val=""/>
      <w:lvlJc w:val="start"/>
      <w:pPr>
        <w:tabs>
          <w:tab w:val="num" w:pos="360"/>
        </w:tabs>
        <w:ind w:start="360" w:hanging="360"/>
      </w:pPr>
      <w:rPr>
        <w:rFonts w:ascii="Symbol" w:hAnsi="Symbol" w:cs="Symbol" w:hint="default"/>
        <w:color w:val="auto"/>
      </w:rPr>
    </w:lvl>
  </w:abstractNum>
  <w:abstractNum w:abstractNumId="9">
    <w:lvl w:ilvl="0">
      <w:start w:val="1"/>
      <w:numFmt w:val="bullet"/>
      <w:lvlText w:val=""/>
      <w:lvlJc w:val="start"/>
      <w:pPr>
        <w:tabs>
          <w:tab w:val="num" w:pos="360"/>
        </w:tabs>
        <w:ind w:start="360" w:hanging="360"/>
      </w:pPr>
      <w:rPr>
        <w:rFonts w:ascii="Symbol" w:hAnsi="Symbol" w:cs="Symbol" w:hint="default"/>
        <w:color w:val="auto"/>
      </w:rPr>
    </w:lvl>
  </w:abstractNum>
  <w:abstractNum w:abstractNumId="10">
    <w:lvl w:ilvl="0">
      <w:start w:val="1"/>
      <w:numFmt w:val="bullet"/>
      <w:lvlText w:val=""/>
      <w:lvlJc w:val="start"/>
      <w:pPr>
        <w:tabs>
          <w:tab w:val="num" w:pos="360"/>
        </w:tabs>
        <w:ind w:start="360" w:hanging="360"/>
      </w:pPr>
      <w:rPr>
        <w:rFonts w:ascii="Symbol" w:hAnsi="Symbol" w:cs="Symbol" w:hint="default"/>
        <w:color w:val="auto"/>
      </w:r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abstractNum w:abstractNumId="12">
    <w:lvl w:ilvl="0">
      <w:start w:val="1"/>
      <w:numFmt w:val="bullet"/>
      <w:lvlText w:val=""/>
      <w:lvlJc w:val="start"/>
      <w:pPr>
        <w:tabs>
          <w:tab w:val="num" w:pos="360"/>
        </w:tabs>
        <w:ind w:start="360" w:hanging="360"/>
      </w:pPr>
      <w:rPr>
        <w:rFonts w:ascii="Symbol" w:hAnsi="Symbol" w:cs="Symbol" w:hint="default"/>
        <w:color w:val="auto"/>
      </w:rPr>
    </w:lvl>
  </w:abstractNum>
  <w:abstractNum w:abstractNumId="13">
    <w:lvl w:ilvl="0">
      <w:start w:val="1"/>
      <w:numFmt w:val="bullet"/>
      <w:lvlText w:val=""/>
      <w:lvlJc w:val="start"/>
      <w:pPr>
        <w:tabs>
          <w:tab w:val="num" w:pos="360"/>
        </w:tabs>
        <w:ind w:start="360" w:hanging="360"/>
      </w:pPr>
      <w:rPr>
        <w:rFonts w:ascii="Symbol" w:hAnsi="Symbol" w:cs="Symbol" w:hint="default"/>
        <w:color w:val="auto"/>
      </w:rPr>
    </w:lvl>
  </w:abstractNum>
  <w:abstractNum w:abstractNumId="14">
    <w:lvl w:ilvl="0">
      <w:start w:val="1"/>
      <w:numFmt w:val="bullet"/>
      <w:lvlText w:val=""/>
      <w:lvlJc w:val="start"/>
      <w:pPr>
        <w:tabs>
          <w:tab w:val="num" w:pos="360"/>
        </w:tabs>
        <w:ind w:start="360" w:hanging="360"/>
      </w:pPr>
      <w:rPr>
        <w:rFonts w:ascii="Symbol" w:hAnsi="Symbol" w:cs="Symbol" w:hint="default"/>
        <w:color w:val="auto"/>
      </w:rPr>
    </w:lvl>
  </w:abstractNum>
  <w:abstractNum w:abstractNumId="15">
    <w:lvl w:ilvl="0">
      <w:start w:val="1"/>
      <w:numFmt w:val="bullet"/>
      <w:lvlText w:val=""/>
      <w:lvlJc w:val="start"/>
      <w:pPr>
        <w:tabs>
          <w:tab w:val="num" w:pos="360"/>
        </w:tabs>
        <w:ind w:start="360" w:hanging="360"/>
      </w:pPr>
      <w:rPr>
        <w:rFonts w:ascii="Symbol" w:hAnsi="Symbol" w:cs="Symbol" w:hint="default"/>
        <w:color w:val="auto"/>
      </w:rPr>
    </w:lvl>
  </w:abstractNum>
  <w:abstractNum w:abstractNumId="16">
    <w:lvl w:ilvl="0">
      <w:start w:val="1"/>
      <w:numFmt w:val="bullet"/>
      <w:lvlText w:val=""/>
      <w:lvlJc w:val="start"/>
      <w:pPr>
        <w:tabs>
          <w:tab w:val="num" w:pos="360"/>
        </w:tabs>
        <w:ind w:start="360" w:hanging="360"/>
      </w:pPr>
      <w:rPr>
        <w:rFonts w:ascii="Symbol" w:hAnsi="Symbol" w:cs="Symbol" w:hint="default"/>
        <w:color w:val="auto"/>
      </w:rPr>
    </w:lvl>
  </w:abstractNum>
  <w:abstractNum w:abstractNumId="17">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Bookman Old Style" w:hAnsi="Bookman Old Style" w:cs="Bookman Old Style"/>
      <w:b/>
      <w:color w:val="000000"/>
      <w:sz w:val="24"/>
      <w:lang w:eastAsia="en-US"/>
    </w:rPr>
  </w:style>
  <w:style w:type="paragraph" w:styleId="Heading2">
    <w:name w:val="heading 2"/>
    <w:basedOn w:val="Normal"/>
    <w:next w:val="Normal"/>
    <w:qFormat/>
    <w:pPr>
      <w:keepNext w:val="true"/>
      <w:numPr>
        <w:ilvl w:val="1"/>
        <w:numId w:val="1"/>
      </w:numPr>
      <w:spacing w:lineRule="atLeast" w:line="240"/>
      <w:outlineLvl w:val="1"/>
    </w:pPr>
    <w:rPr>
      <w:rFonts w:ascii="Helv;Arial" w:hAnsi="Helv;Arial" w:cs="Helv;Arial"/>
      <w:b/>
      <w:lang w:eastAsia="en-US"/>
    </w:rPr>
  </w:style>
  <w:style w:type="paragraph" w:styleId="Heading3">
    <w:name w:val="heading 3"/>
    <w:basedOn w:val="Normal"/>
    <w:next w:val="Normal"/>
    <w:qFormat/>
    <w:pPr>
      <w:keepNext w:val="true"/>
      <w:numPr>
        <w:ilvl w:val="2"/>
        <w:numId w:val="1"/>
      </w:numPr>
      <w:spacing w:lineRule="atLeast" w:line="240"/>
      <w:outlineLvl w:val="2"/>
    </w:pPr>
    <w:rPr>
      <w:rFonts w:ascii="Bookman Old Style" w:hAnsi="Bookman Old Style" w:cs="Bookman Old Style"/>
      <w:color w:val="000000"/>
      <w:sz w:val="24"/>
      <w:u w:val="single"/>
      <w:lang w:eastAsia="en-US"/>
    </w:rPr>
  </w:style>
  <w:style w:type="paragraph" w:styleId="Heading4">
    <w:name w:val="heading 4"/>
    <w:basedOn w:val="Normal"/>
    <w:next w:val="Normal"/>
    <w:qFormat/>
    <w:pPr>
      <w:keepNext w:val="true"/>
      <w:numPr>
        <w:ilvl w:val="3"/>
        <w:numId w:val="1"/>
      </w:numPr>
      <w:spacing w:lineRule="atLeast" w:line="240"/>
      <w:outlineLvl w:val="3"/>
    </w:pPr>
    <w:rPr>
      <w:rFonts w:ascii="Helv;Arial" w:hAnsi="Helv;Arial" w:cs="Helv;Arial"/>
      <w:b/>
      <w:i/>
      <w:lang w:eastAsia="en-US"/>
    </w:rPr>
  </w:style>
  <w:style w:type="paragraph" w:styleId="Heading5">
    <w:name w:val="heading 5"/>
    <w:basedOn w:val="Normal"/>
    <w:next w:val="Normal"/>
    <w:qFormat/>
    <w:pPr>
      <w:keepNext w:val="true"/>
      <w:numPr>
        <w:ilvl w:val="4"/>
        <w:numId w:val="1"/>
      </w:numPr>
      <w:spacing w:lineRule="atLeast" w:line="240"/>
      <w:outlineLvl w:val="4"/>
    </w:pPr>
    <w:rPr>
      <w:rFonts w:ascii="Helv;Arial" w:hAnsi="Helv;Arial" w:cs="Helv;Arial"/>
      <w:i/>
      <w:lang w:eastAsia="en-US"/>
    </w:rPr>
  </w:style>
  <w:style w:type="character" w:styleId="WW8Num1z0">
    <w:name w:val="WW8Num1z0"/>
    <w:qFormat/>
    <w:rPr>
      <w:rFonts w:ascii="Symbol" w:hAnsi="Symbol" w:cs="Symbol"/>
      <w:color w:val="auto"/>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color w:val="auto"/>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color w:val="auto"/>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color w:val="auto"/>
    </w:rPr>
  </w:style>
  <w:style w:type="character" w:styleId="WW8Num19z0">
    <w:name w:val="WW8Num19z0"/>
    <w:qFormat/>
    <w:rPr>
      <w:rFonts w:ascii="Symbol" w:hAnsi="Symbol" w:cs="Symbol"/>
      <w:color w:val="auto"/>
    </w:rPr>
  </w:style>
  <w:style w:type="character" w:styleId="WW8Num20z0">
    <w:name w:val="WW8Num20z0"/>
    <w:qFormat/>
    <w:rPr/>
  </w:style>
  <w:style w:type="character" w:styleId="WW8Num21z0">
    <w:name w:val="WW8Num21z0"/>
    <w:qFormat/>
    <w:rPr>
      <w:rFonts w:ascii="Symbol" w:hAnsi="Symbol" w:cs="Symbol"/>
      <w:color w:val="auto"/>
    </w:rPr>
  </w:style>
  <w:style w:type="character" w:styleId="WW8Num22z0">
    <w:name w:val="WW8Num22z0"/>
    <w:qFormat/>
    <w:rPr>
      <w:rFonts w:ascii="Symbol" w:hAnsi="Symbol" w:cs="Symbol"/>
      <w:color w:val="auto"/>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color w:val="auto"/>
    </w:rPr>
  </w:style>
  <w:style w:type="character" w:styleId="WW8Num26z0">
    <w:name w:val="WW8Num26z0"/>
    <w:qFormat/>
    <w:rPr>
      <w:rFonts w:ascii="Symbol" w:hAnsi="Symbol" w:cs="Symbol"/>
      <w:color w:val="auto"/>
    </w:rPr>
  </w:style>
  <w:style w:type="character" w:styleId="WW8Num27z0">
    <w:name w:val="WW8Num27z0"/>
    <w:qFormat/>
    <w:rPr>
      <w:rFonts w:ascii="Symbol" w:hAnsi="Symbol" w:cs="Symbol"/>
    </w:rPr>
  </w:style>
  <w:style w:type="character" w:styleId="WW8Num28z0">
    <w:name w:val="WW8Num28z0"/>
    <w:qFormat/>
    <w:rPr>
      <w:rFonts w:ascii="Symbol" w:hAnsi="Symbol" w:cs="Symbol"/>
      <w:color w:val="auto"/>
    </w:rPr>
  </w:style>
  <w:style w:type="character" w:styleId="WW8Num29z0">
    <w:name w:val="WW8Num29z0"/>
    <w:qFormat/>
    <w:rPr>
      <w:rFonts w:ascii="Symbol" w:hAnsi="Symbol" w:cs="Symbol"/>
      <w:color w:val="auto"/>
    </w:rPr>
  </w:style>
  <w:style w:type="character" w:styleId="WW8Num30z0">
    <w:name w:val="WW8Num30z0"/>
    <w:qFormat/>
    <w:rPr>
      <w:rFonts w:ascii="Symbol" w:hAnsi="Symbol" w:cs="Symbol"/>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color w:val="auto"/>
    </w:rPr>
  </w:style>
  <w:style w:type="character" w:styleId="WW8Num33z0">
    <w:name w:val="WW8Num33z0"/>
    <w:qFormat/>
    <w:rPr>
      <w:rFonts w:ascii="Symbol" w:hAnsi="Symbol" w:cs="Symbol"/>
      <w:color w:val="auto"/>
    </w:rPr>
  </w:style>
  <w:style w:type="character" w:styleId="WW8Num34z0">
    <w:name w:val="WW8Num34z0"/>
    <w:qFormat/>
    <w:rPr>
      <w:rFonts w:ascii="Symbol" w:hAnsi="Symbol" w:cs="Symbol"/>
      <w:color w:val="auto"/>
    </w:rPr>
  </w:style>
  <w:style w:type="character" w:styleId="WW8Num35z0">
    <w:name w:val="WW8Num35z0"/>
    <w:qFormat/>
    <w:rPr>
      <w:rFonts w:ascii="Symbol" w:hAnsi="Symbol" w:cs="Symbol"/>
      <w:color w:val="auto"/>
    </w:rPr>
  </w:style>
  <w:style w:type="character" w:styleId="WW8Num36z0">
    <w:name w:val="WW8Num36z0"/>
    <w:qFormat/>
    <w:rPr>
      <w:rFonts w:ascii="Symbol" w:hAnsi="Symbol" w:cs="Symbol"/>
    </w:rPr>
  </w:style>
  <w:style w:type="character" w:styleId="WW8Num37z0">
    <w:name w:val="WW8Num37z0"/>
    <w:qFormat/>
    <w:rPr>
      <w:rFonts w:ascii="Symbol" w:hAnsi="Symbol" w:cs="Symbol"/>
      <w:color w:val="auto"/>
    </w:rPr>
  </w:style>
  <w:style w:type="character" w:styleId="WW8Num38z0">
    <w:name w:val="WW8Num38z0"/>
    <w:qFormat/>
    <w:rPr>
      <w:rFonts w:ascii="Symbol" w:hAnsi="Symbol" w:cs="Symbol"/>
    </w:rPr>
  </w:style>
  <w:style w:type="character" w:styleId="WW8Num39z0">
    <w:name w:val="WW8Num39z0"/>
    <w:qFormat/>
    <w:rPr>
      <w:rFonts w:ascii="Symbol" w:hAnsi="Symbol" w:cs="Symbol"/>
      <w:color w:val="auto"/>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color w:val="auto"/>
    </w:rPr>
  </w:style>
  <w:style w:type="character" w:styleId="WW8Num45z0">
    <w:name w:val="WW8Num45z0"/>
    <w:qFormat/>
    <w:rPr>
      <w:rFonts w:ascii="Symbol" w:hAnsi="Symbol" w:cs="Symbol"/>
      <w:color w:val="auto"/>
    </w:rPr>
  </w:style>
  <w:style w:type="character" w:styleId="WW8Num46z0">
    <w:name w:val="WW8Num46z0"/>
    <w:qFormat/>
    <w:rPr>
      <w:rFonts w:ascii="Symbol" w:hAnsi="Symbol" w:cs="Symbol"/>
      <w:color w:val="auto"/>
    </w:rPr>
  </w:style>
  <w:style w:type="character" w:styleId="WW8Num47z0">
    <w:name w:val="WW8Num47z0"/>
    <w:qFormat/>
    <w:rPr>
      <w:rFonts w:ascii="Symbol" w:hAnsi="Symbol" w:cs="Symbol"/>
      <w:color w:val="auto"/>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color w:val="auto"/>
    </w:rPr>
  </w:style>
  <w:style w:type="character" w:styleId="WW8Num51z0">
    <w:name w:val="WW8Num51z0"/>
    <w:qFormat/>
    <w:rPr>
      <w:rFonts w:ascii="Symbol" w:hAnsi="Symbol" w:cs="Symbol"/>
      <w:color w:val="auto"/>
    </w:rPr>
  </w:style>
  <w:style w:type="character" w:styleId="WW8Num52z0">
    <w:name w:val="WW8Num52z0"/>
    <w:qFormat/>
    <w:rPr>
      <w:rFonts w:ascii="Symbol" w:hAnsi="Symbol" w:cs="Symbol"/>
    </w:rPr>
  </w:style>
  <w:style w:type="character" w:styleId="WW8Num53z0">
    <w:name w:val="WW8Num53z0"/>
    <w:qFormat/>
    <w:rPr>
      <w:rFonts w:ascii="Symbol" w:hAnsi="Symbol" w:cs="Symbol"/>
      <w:color w:val="auto"/>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color w:val="auto"/>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lang w:eastAsia="en-US"/>
    </w:rPr>
  </w:style>
  <w:style w:type="paragraph" w:styleId="BodyText">
    <w:name w:val="Body Text"/>
    <w:basedOn w:val="Normal"/>
    <w:pPr>
      <w:spacing w:lineRule="atLeast" w:line="240"/>
    </w:pPr>
    <w:rPr>
      <w:rFonts w:ascii="Bookman Old Style" w:hAnsi="Bookman Old Style" w:cs="Bookman Old Style"/>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sz w:val="24"/>
      <w:lang w:eastAsia="en-US"/>
    </w:rPr>
  </w:style>
  <w:style w:type="paragraph" w:styleId="Header">
    <w:name w:val="header"/>
    <w:basedOn w:val="Normal"/>
    <w:pPr>
      <w:tabs>
        <w:tab w:val="clear" w:pos="720"/>
        <w:tab w:val="center" w:pos="4320" w:leader="none"/>
        <w:tab w:val="right" w:pos="8640" w:leader="none"/>
      </w:tabs>
    </w:pPr>
    <w:rPr>
      <w:rFonts w:ascii="Arial" w:hAnsi="Arial" w:cs="Arial"/>
      <w:sz w:val="24"/>
      <w:lang w:eastAsia="en-US"/>
    </w:rPr>
  </w:style>
  <w:style w:type="paragraph" w:styleId="Subject">
    <w:name w:val="Subject"/>
    <w:basedOn w:val="Normal"/>
    <w:qFormat/>
    <w:pPr/>
    <w:rPr>
      <w:rFonts w:ascii="Arial" w:hAnsi="Arial" w:cs="Arial"/>
      <w:lang w:eastAsia="en-US"/>
    </w:rPr>
  </w:style>
  <w:style w:type="paragraph" w:styleId="Date">
    <w:name w:val="Date"/>
    <w:basedOn w:val="Normal"/>
    <w:qFormat/>
    <w:pPr/>
    <w:rPr>
      <w:rFonts w:ascii="Arial" w:hAnsi="Arial" w:cs="Arial"/>
      <w:lang w:eastAsia="en-US"/>
    </w:rPr>
  </w:style>
  <w:style w:type="paragraph" w:styleId="To">
    <w:name w:val="To"/>
    <w:basedOn w:val="Normal"/>
    <w:qFormat/>
    <w:pPr/>
    <w:rPr>
      <w:rFonts w:ascii="Arial" w:hAnsi="Arial" w:cs="Arial"/>
      <w:lang w:eastAsia="en-US"/>
    </w:rPr>
  </w:style>
  <w:style w:type="paragraph" w:styleId="From">
    <w:name w:val="From"/>
    <w:basedOn w:val="Normal"/>
    <w:qFormat/>
    <w:pPr/>
    <w:rPr>
      <w:rFonts w:ascii="Arial" w:hAnsi="Arial" w:cs="Arial"/>
      <w:lang w:eastAsia="en-US"/>
    </w:rPr>
  </w:style>
  <w:style w:type="paragraph" w:styleId="Body">
    <w:name w:val="Body"/>
    <w:basedOn w:val="Normal"/>
    <w:qFormat/>
    <w:pPr>
      <w:ind w:hanging="0" w:start="72" w:end="0"/>
    </w:pPr>
    <w:rPr>
      <w:rFonts w:ascii="Arial" w:hAnsi="Arial" w:cs="Arial"/>
      <w:color w:val="000080"/>
      <w:lang w:eastAsia="en-US"/>
    </w:rPr>
  </w:style>
  <w:style w:type="paragraph" w:styleId="Department">
    <w:name w:val="Department"/>
    <w:basedOn w:val="Normal"/>
    <w:qFormat/>
    <w:pPr/>
    <w:rPr>
      <w:rFonts w:ascii="Arial" w:hAnsi="Arial" w:cs="Arial"/>
      <w:lang w:eastAsia="en-US"/>
    </w:rPr>
  </w:style>
  <w:style w:type="paragraph" w:styleId="BodyTextIndent">
    <w:name w:val="Body Text Indent"/>
    <w:basedOn w:val="Normal"/>
    <w:pPr>
      <w:spacing w:lineRule="atLeast" w:line="240"/>
      <w:ind w:hanging="0" w:start="360" w:end="0"/>
    </w:pPr>
    <w:rPr>
      <w:rFonts w:ascii="Bookman Old Style" w:hAnsi="Bookman Old Style" w:cs="Bookman Old Style"/>
      <w:color w:val="000000"/>
      <w:sz w:val="24"/>
      <w:lang w:eastAsia="en-US"/>
    </w:rPr>
  </w:style>
  <w:style w:type="paragraph" w:styleId="BodyText2">
    <w:name w:val="Body Text 2"/>
    <w:basedOn w:val="Normal"/>
    <w:qFormat/>
    <w:pPr>
      <w:spacing w:lineRule="atLeast" w:line="240"/>
    </w:pPr>
    <w:rPr>
      <w:rFonts w:ascii="Bookman Old Style" w:hAnsi="Bookman Old Style" w:cs="Bookman Old Style"/>
      <w:color w:val="FF0000"/>
      <w:sz w:val="24"/>
      <w:lang w:eastAsia="en-US"/>
    </w:rPr>
  </w:style>
  <w:style w:type="paragraph" w:styleId="BodyTextIndent2">
    <w:name w:val="Body Text Indent 2"/>
    <w:basedOn w:val="Normal"/>
    <w:qFormat/>
    <w:pPr>
      <w:spacing w:lineRule="atLeast" w:line="240"/>
      <w:ind w:hanging="360" w:start="360" w:end="0"/>
    </w:pPr>
    <w:rPr>
      <w:rFonts w:ascii="Bookman Old Style" w:hAnsi="Bookman Old Style" w:cs="Bookman Old Style"/>
      <w:color w:val="0000FF"/>
      <w:sz w:val="24"/>
      <w:lang w:eastAsia="en-US"/>
    </w:rPr>
  </w:style>
  <w:style w:type="paragraph" w:styleId="BodyText3">
    <w:name w:val="Body Text 3"/>
    <w:basedOn w:val="Normal"/>
    <w:qFormat/>
    <w:pPr>
      <w:spacing w:lineRule="exact" w:line="240" w:before="120" w:after="120"/>
    </w:pPr>
    <w:rPr>
      <w:rFonts w:ascii="Bookman Old Style" w:hAnsi="Bookman Old Style" w:cs="Bookman Old Style"/>
      <w:sz w:val="24"/>
    </w:rPr>
  </w:style>
  <w:style w:type="paragraph" w:styleId="BodyTextIndent3">
    <w:name w:val="Body Text Indent 3"/>
    <w:basedOn w:val="Normal"/>
    <w:qFormat/>
    <w:pPr>
      <w:spacing w:lineRule="exact" w:line="240" w:before="120" w:after="120"/>
      <w:ind w:hanging="0" w:start="360" w:end="0"/>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2000-11-29T07:56:00Z</dcterms:created>
  <dc:creator>EIPL-MUM-NG13</dc:creator>
  <dc:description/>
  <dc:language>en-CA</dc:language>
  <cp:lastModifiedBy>Enron Technology</cp:lastModifiedBy>
  <cp:lastPrinted>2000-11-29T18:09:00Z</cp:lastPrinted>
  <dcterms:modified xsi:type="dcterms:W3CDTF">2000-11-30T03:40:00Z</dcterms:modified>
  <cp:revision>24</cp:revision>
  <dc:subject/>
  <dc:title> </dc:title>
</cp:coreProperties>
</file>