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rFonts w:ascii="Times New Roman" w:hAnsi="Times New Roman" w:cs="Times New Roman"/>
          <w:sz w:val="22"/>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440" w:type="dxa"/>
        <w:jc w:val="start"/>
        <w:tblInd w:w="-522" w:type="dxa"/>
        <w:tblLayout w:type="fixed"/>
        <w:tblCellMar>
          <w:top w:w="0" w:type="dxa"/>
          <w:start w:w="108" w:type="dxa"/>
          <w:bottom w:w="0" w:type="dxa"/>
          <w:end w:w="108" w:type="dxa"/>
        </w:tblCellMar>
      </w:tblPr>
      <w:tblGrid>
        <w:gridCol w:w="1260"/>
        <w:gridCol w:w="4860"/>
        <w:gridCol w:w="1708"/>
        <w:gridCol w:w="2612"/>
      </w:tblGrid>
      <w:tr>
        <w:trPr>
          <w:trHeight w:val="300" w:hRule="exact"/>
        </w:trPr>
        <w:tc>
          <w:tcPr>
            <w:tcW w:w="1260" w:type="dxa"/>
            <w:tcBorders/>
          </w:tcPr>
          <w:p>
            <w:pPr>
              <w:pStyle w:val="Normal"/>
              <w:spacing w:before="20" w:after="0"/>
              <w:ind w:firstLine="90" w:start="-18" w:end="0"/>
              <w:jc w:val="both"/>
              <w:rPr>
                <w:rFonts w:ascii="Bookman Old Style" w:hAnsi="Bookman Old Style" w:cs="Bookman Old Style"/>
                <w:sz w:val="22"/>
              </w:rPr>
            </w:pPr>
            <w:r>
              <w:rPr>
                <w:rFonts w:cs="Bookman Old Style" w:ascii="Bookman Old Style" w:hAnsi="Bookman Old Style"/>
                <w:sz w:val="22"/>
              </w:rPr>
              <w:t>To:</w:t>
            </w:r>
          </w:p>
        </w:tc>
        <w:tc>
          <w:tcPr>
            <w:tcW w:w="4860" w:type="dxa"/>
            <w:tcBorders/>
          </w:tcPr>
          <w:p>
            <w:pPr>
              <w:pStyle w:val="To"/>
              <w:jc w:val="both"/>
              <w:rPr>
                <w:rFonts w:ascii="Bookman Old Style" w:hAnsi="Bookman Old Style" w:cs="Bookman Old Style"/>
                <w:sz w:val="22"/>
              </w:rPr>
            </w:pPr>
            <w:bookmarkStart w:id="0" w:name="to"/>
            <w:bookmarkEnd w:id="0"/>
            <w:r>
              <w:rPr>
                <w:rFonts w:cs="Bookman Old Style" w:ascii="Bookman Old Style" w:hAnsi="Bookman Old Style"/>
                <w:sz w:val="22"/>
              </w:rPr>
              <w:t>Wade Cline</w:t>
            </w:r>
          </w:p>
        </w:tc>
        <w:tc>
          <w:tcPr>
            <w:tcW w:w="1708" w:type="dxa"/>
            <w:tcBorders/>
          </w:tcPr>
          <w:p>
            <w:pPr>
              <w:pStyle w:val="Normal"/>
              <w:snapToGrid w:val="false"/>
              <w:spacing w:before="20" w:after="0"/>
              <w:ind w:firstLine="29" w:start="-202" w:end="0"/>
              <w:jc w:val="both"/>
              <w:rPr>
                <w:rFonts w:ascii="Bookman Old Style" w:hAnsi="Bookman Old Style" w:cs="Bookman Old Style"/>
                <w:sz w:val="22"/>
              </w:rPr>
            </w:pPr>
            <w:r>
              <w:rPr>
                <w:rFonts w:cs="Bookman Old Style" w:ascii="Bookman Old Style" w:hAnsi="Bookman Old Style"/>
                <w:sz w:val="22"/>
              </w:rPr>
            </w:r>
          </w:p>
        </w:tc>
        <w:tc>
          <w:tcPr>
            <w:tcW w:w="2612"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r>
      <w:tr>
        <w:trPr>
          <w:trHeight w:val="216" w:hRule="exact"/>
        </w:trPr>
        <w:tc>
          <w:tcPr>
            <w:tcW w:w="1260" w:type="dxa"/>
            <w:tcBorders/>
          </w:tcPr>
          <w:p>
            <w:pPr>
              <w:pStyle w:val="Normal"/>
              <w:snapToGrid w:val="false"/>
              <w:spacing w:before="20" w:after="0"/>
              <w:ind w:start="-187" w:end="0"/>
              <w:jc w:val="both"/>
              <w:rPr>
                <w:rFonts w:ascii="Bookman Old Style" w:hAnsi="Bookman Old Style" w:cs="Bookman Old Style"/>
                <w:sz w:val="22"/>
              </w:rPr>
            </w:pPr>
            <w:r>
              <w:rPr>
                <w:rFonts w:cs="Bookman Old Style" w:ascii="Bookman Old Style" w:hAnsi="Bookman Old Style"/>
                <w:sz w:val="22"/>
              </w:rPr>
            </w:r>
          </w:p>
        </w:tc>
        <w:tc>
          <w:tcPr>
            <w:tcW w:w="4860"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c>
          <w:tcPr>
            <w:tcW w:w="1708" w:type="dxa"/>
            <w:tcBorders/>
          </w:tcPr>
          <w:p>
            <w:pPr>
              <w:pStyle w:val="Normal"/>
              <w:snapToGrid w:val="false"/>
              <w:spacing w:before="20" w:after="0"/>
              <w:ind w:firstLine="29" w:start="-202" w:end="0"/>
              <w:jc w:val="both"/>
              <w:rPr>
                <w:rFonts w:ascii="Bookman Old Style" w:hAnsi="Bookman Old Style" w:cs="Bookman Old Style"/>
                <w:sz w:val="22"/>
              </w:rPr>
            </w:pPr>
            <w:r>
              <w:rPr>
                <w:rFonts w:cs="Bookman Old Style" w:ascii="Bookman Old Style" w:hAnsi="Bookman Old Style"/>
                <w:sz w:val="22"/>
              </w:rPr>
            </w:r>
          </w:p>
        </w:tc>
        <w:tc>
          <w:tcPr>
            <w:tcW w:w="2612"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r>
      <w:tr>
        <w:trPr>
          <w:trHeight w:val="300" w:hRule="exact"/>
        </w:trPr>
        <w:tc>
          <w:tcPr>
            <w:tcW w:w="1260" w:type="dxa"/>
            <w:tcBorders/>
          </w:tcPr>
          <w:p>
            <w:pPr>
              <w:pStyle w:val="Normal"/>
              <w:spacing w:before="20" w:after="0"/>
              <w:ind w:firstLine="259" w:start="-187" w:end="0"/>
              <w:jc w:val="both"/>
              <w:rPr>
                <w:rFonts w:ascii="Bookman Old Style" w:hAnsi="Bookman Old Style" w:cs="Bookman Old Style"/>
                <w:sz w:val="22"/>
              </w:rPr>
            </w:pPr>
            <w:r>
              <w:rPr>
                <w:rFonts w:cs="Bookman Old Style" w:ascii="Bookman Old Style" w:hAnsi="Bookman Old Style"/>
                <w:sz w:val="22"/>
              </w:rPr>
              <w:t>From:</w:t>
            </w:r>
          </w:p>
        </w:tc>
        <w:tc>
          <w:tcPr>
            <w:tcW w:w="4860" w:type="dxa"/>
            <w:tcBorders/>
          </w:tcPr>
          <w:p>
            <w:pPr>
              <w:pStyle w:val="From"/>
              <w:jc w:val="both"/>
              <w:rPr>
                <w:rFonts w:ascii="Bookman Old Style" w:hAnsi="Bookman Old Style" w:cs="Bookman Old Style"/>
                <w:sz w:val="22"/>
              </w:rPr>
            </w:pPr>
            <w:r>
              <w:rPr>
                <w:rFonts w:cs="Bookman Old Style" w:ascii="Bookman Old Style" w:hAnsi="Bookman Old Style"/>
                <w:sz w:val="22"/>
              </w:rPr>
              <w:t>Jane Wilson</w:t>
            </w:r>
          </w:p>
        </w:tc>
        <w:tc>
          <w:tcPr>
            <w:tcW w:w="1708" w:type="dxa"/>
            <w:tcBorders/>
          </w:tcPr>
          <w:p>
            <w:pPr>
              <w:pStyle w:val="Normal"/>
              <w:spacing w:before="20" w:after="0"/>
              <w:ind w:firstLine="184" w:start="-202" w:end="0"/>
              <w:jc w:val="both"/>
              <w:rPr>
                <w:rFonts w:ascii="Bookman Old Style" w:hAnsi="Bookman Old Style" w:cs="Bookman Old Style"/>
                <w:sz w:val="22"/>
              </w:rPr>
            </w:pPr>
            <w:r>
              <w:rPr>
                <w:rFonts w:cs="Bookman Old Style" w:ascii="Bookman Old Style" w:hAnsi="Bookman Old Style"/>
                <w:sz w:val="22"/>
              </w:rPr>
              <w:t>Department:</w:t>
            </w:r>
          </w:p>
        </w:tc>
        <w:tc>
          <w:tcPr>
            <w:tcW w:w="2612" w:type="dxa"/>
            <w:tcBorders/>
          </w:tcPr>
          <w:p>
            <w:pPr>
              <w:pStyle w:val="Department"/>
              <w:jc w:val="both"/>
              <w:rPr>
                <w:rFonts w:ascii="Bookman Old Style" w:hAnsi="Bookman Old Style" w:cs="Bookman Old Style"/>
                <w:sz w:val="22"/>
              </w:rPr>
            </w:pPr>
            <w:bookmarkStart w:id="1" w:name="From"/>
            <w:bookmarkEnd w:id="1"/>
            <w:r>
              <w:rPr>
                <w:rFonts w:cs="Bookman Old Style" w:ascii="Bookman Old Style" w:hAnsi="Bookman Old Style"/>
                <w:sz w:val="22"/>
              </w:rPr>
              <w:t>Regulatory Affairs</w:t>
            </w:r>
          </w:p>
        </w:tc>
      </w:tr>
      <w:tr>
        <w:trPr>
          <w:trHeight w:val="216" w:hRule="exact"/>
        </w:trPr>
        <w:tc>
          <w:tcPr>
            <w:tcW w:w="1260" w:type="dxa"/>
            <w:tcBorders/>
          </w:tcPr>
          <w:p>
            <w:pPr>
              <w:pStyle w:val="Normal"/>
              <w:snapToGrid w:val="false"/>
              <w:spacing w:before="20" w:after="0"/>
              <w:ind w:firstLine="259" w:start="-187" w:end="0"/>
              <w:jc w:val="both"/>
              <w:rPr>
                <w:rFonts w:ascii="Bookman Old Style" w:hAnsi="Bookman Old Style" w:cs="Bookman Old Style"/>
                <w:sz w:val="22"/>
              </w:rPr>
            </w:pPr>
            <w:r>
              <w:rPr>
                <w:rFonts w:cs="Bookman Old Style" w:ascii="Bookman Old Style" w:hAnsi="Bookman Old Style"/>
                <w:sz w:val="22"/>
              </w:rPr>
            </w:r>
          </w:p>
        </w:tc>
        <w:tc>
          <w:tcPr>
            <w:tcW w:w="4860"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c>
          <w:tcPr>
            <w:tcW w:w="1708" w:type="dxa"/>
            <w:tcBorders/>
          </w:tcPr>
          <w:p>
            <w:pPr>
              <w:pStyle w:val="Normal"/>
              <w:snapToGrid w:val="false"/>
              <w:spacing w:before="20" w:after="0"/>
              <w:ind w:firstLine="29" w:start="-202" w:end="0"/>
              <w:jc w:val="both"/>
              <w:rPr>
                <w:rFonts w:ascii="Bookman Old Style" w:hAnsi="Bookman Old Style" w:cs="Bookman Old Style"/>
                <w:sz w:val="22"/>
              </w:rPr>
            </w:pPr>
            <w:r>
              <w:rPr>
                <w:rFonts w:cs="Bookman Old Style" w:ascii="Bookman Old Style" w:hAnsi="Bookman Old Style"/>
                <w:sz w:val="22"/>
              </w:rPr>
            </w:r>
          </w:p>
        </w:tc>
        <w:tc>
          <w:tcPr>
            <w:tcW w:w="2612"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r>
      <w:tr>
        <w:trPr>
          <w:trHeight w:val="576" w:hRule="exact"/>
        </w:trPr>
        <w:tc>
          <w:tcPr>
            <w:tcW w:w="1260" w:type="dxa"/>
            <w:tcBorders>
              <w:bottom w:val="single" w:sz="18" w:space="0" w:color="000000"/>
            </w:tcBorders>
          </w:tcPr>
          <w:p>
            <w:pPr>
              <w:pStyle w:val="Normal"/>
              <w:spacing w:before="20" w:after="0"/>
              <w:ind w:firstLine="259" w:start="-187" w:end="0"/>
              <w:jc w:val="both"/>
              <w:rPr>
                <w:rFonts w:ascii="Bookman Old Style" w:hAnsi="Bookman Old Style" w:cs="Bookman Old Style"/>
                <w:sz w:val="22"/>
              </w:rPr>
            </w:pPr>
            <w:r>
              <w:rPr>
                <w:rFonts w:cs="Bookman Old Style" w:ascii="Bookman Old Style" w:hAnsi="Bookman Old Style"/>
                <w:sz w:val="22"/>
              </w:rPr>
              <w:t>Subject:</w:t>
            </w:r>
          </w:p>
        </w:tc>
        <w:tc>
          <w:tcPr>
            <w:tcW w:w="4860" w:type="dxa"/>
            <w:tcBorders>
              <w:bottom w:val="single" w:sz="18" w:space="0" w:color="000000"/>
            </w:tcBorders>
          </w:tcPr>
          <w:p>
            <w:pPr>
              <w:pStyle w:val="Subject"/>
              <w:jc w:val="both"/>
              <w:rPr>
                <w:rFonts w:ascii="Bookman Old Style" w:hAnsi="Bookman Old Style" w:cs="Bookman Old Style"/>
                <w:sz w:val="22"/>
              </w:rPr>
            </w:pPr>
            <w:bookmarkStart w:id="2" w:name="Subject"/>
            <w:bookmarkEnd w:id="2"/>
            <w:r>
              <w:rPr>
                <w:rFonts w:cs="Bookman Old Style" w:ascii="Bookman Old Style" w:hAnsi="Bookman Old Style"/>
                <w:sz w:val="22"/>
              </w:rPr>
              <w:t>Significant Events for November first fortnight</w:t>
            </w:r>
          </w:p>
        </w:tc>
        <w:tc>
          <w:tcPr>
            <w:tcW w:w="1708" w:type="dxa"/>
            <w:tcBorders>
              <w:bottom w:val="single" w:sz="18" w:space="0" w:color="000000"/>
            </w:tcBorders>
          </w:tcPr>
          <w:p>
            <w:pPr>
              <w:pStyle w:val="Normal"/>
              <w:spacing w:before="20" w:after="0"/>
              <w:ind w:firstLine="202" w:start="-202" w:end="0"/>
              <w:jc w:val="both"/>
              <w:rPr>
                <w:rFonts w:ascii="Bookman Old Style" w:hAnsi="Bookman Old Style" w:cs="Bookman Old Style"/>
                <w:sz w:val="22"/>
              </w:rPr>
            </w:pPr>
            <w:r>
              <w:rPr>
                <w:rFonts w:cs="Bookman Old Style" w:ascii="Bookman Old Style" w:hAnsi="Bookman Old Style"/>
                <w:sz w:val="22"/>
              </w:rPr>
              <w:t>Date:</w:t>
            </w:r>
          </w:p>
        </w:tc>
        <w:tc>
          <w:tcPr>
            <w:tcW w:w="2612" w:type="dxa"/>
            <w:tcBorders>
              <w:bottom w:val="single" w:sz="18" w:space="0" w:color="000000"/>
            </w:tcBorders>
          </w:tcPr>
          <w:p>
            <w:pPr>
              <w:pStyle w:val="Date"/>
              <w:jc w:val="both"/>
              <w:rPr>
                <w:rFonts w:ascii="Bookman Old Style" w:hAnsi="Bookman Old Style" w:cs="Bookman Old Style"/>
                <w:sz w:val="22"/>
              </w:rPr>
            </w:pPr>
            <w:r>
              <w:rPr>
                <w:rFonts w:cs="Bookman Old Style" w:ascii="Bookman Old Style" w:hAnsi="Bookman Old Style"/>
                <w:sz w:val="22"/>
              </w:rPr>
              <w:t>November 15, 2000</w:t>
            </w:r>
          </w:p>
        </w:tc>
      </w:tr>
    </w:tbl>
    <w:p>
      <w:pPr>
        <w:pStyle w:val="Body"/>
        <w:ind w:start="0" w:end="0"/>
        <w:jc w:val="both"/>
        <w:rPr>
          <w:rFonts w:ascii="Times New Roman" w:hAnsi="Times New Roman" w:cs="Times New Roman"/>
          <w:color w:val="000000"/>
          <w:sz w:val="22"/>
        </w:rPr>
      </w:pPr>
      <w:r>
        <w:rPr>
          <w:rFonts w:cs="Times New Roman" w:ascii="Times New Roman" w:hAnsi="Times New Roman"/>
          <w:color w:val="000000"/>
          <w:sz w:val="22"/>
        </w:rPr>
      </w:r>
      <w:bookmarkStart w:id="3" w:name="StartOfMemo"/>
      <w:bookmarkStart w:id="4" w:name="StartOfMemo"/>
      <w:bookmarkEnd w:id="4"/>
    </w:p>
    <w:p>
      <w:pPr>
        <w:pStyle w:val="Heading1"/>
        <w:ind w:hanging="0" w:start="0"/>
        <w:jc w:val="both"/>
        <w:rPr>
          <w:b w:val="false"/>
          <w:sz w:val="22"/>
        </w:rPr>
      </w:pPr>
      <w:r>
        <w:rPr>
          <w:b w:val="false"/>
          <w:sz w:val="22"/>
        </w:rPr>
        <w:t>Below are the activities of the Government and Regulatory Affairs group for the first fortnight of November, 2000:</w:t>
      </w:r>
    </w:p>
    <w:p>
      <w:pPr>
        <w:pStyle w:val="Heading1"/>
        <w:ind w:hanging="0" w:start="0"/>
        <w:jc w:val="both"/>
        <w:rPr>
          <w:b w:val="false"/>
          <w:sz w:val="22"/>
        </w:rPr>
      </w:pPr>
      <w:r>
        <w:rPr>
          <w:b w:val="false"/>
          <w:sz w:val="22"/>
        </w:rPr>
      </w:r>
    </w:p>
    <w:p>
      <w:pPr>
        <w:pStyle w:val="Heading3"/>
        <w:ind w:hanging="0" w:start="0"/>
        <w:jc w:val="both"/>
        <w:rPr>
          <w:b/>
          <w:sz w:val="22"/>
          <w:u w:val="none"/>
        </w:rPr>
      </w:pPr>
      <w:r>
        <w:rPr>
          <w:b/>
          <w:sz w:val="22"/>
          <w:u w:val="none"/>
        </w:rPr>
        <w:t>Gas</w:t>
      </w:r>
    </w:p>
    <w:p>
      <w:pPr>
        <w:pStyle w:val="Normal"/>
        <w:spacing w:lineRule="atLeast" w:line="240"/>
        <w:jc w:val="both"/>
        <w:rPr>
          <w:rFonts w:ascii="Helv;Arial" w:hAnsi="Helv;Arial" w:cs="Helv;Arial"/>
          <w:b/>
          <w:color w:val="000000"/>
          <w:sz w:val="24"/>
          <w:u w:val="none"/>
          <w:lang w:eastAsia="en-US"/>
        </w:rPr>
      </w:pPr>
      <w:r>
        <w:rPr>
          <w:rFonts w:cs="Helv;Arial" w:ascii="Helv;Arial" w:hAnsi="Helv;Arial"/>
          <w:b/>
          <w:color w:val="000000"/>
          <w:sz w:val="24"/>
          <w:u w:val="none"/>
          <w:lang w:eastAsia="en-US"/>
        </w:rPr>
      </w:r>
    </w:p>
    <w:p>
      <w:pPr>
        <w:pStyle w:val="BodyText2"/>
        <w:numPr>
          <w:ilvl w:val="0"/>
          <w:numId w:val="9"/>
        </w:numPr>
        <w:jc w:val="both"/>
        <w:rPr>
          <w:color w:val="000000"/>
        </w:rPr>
      </w:pPr>
      <w:r>
        <w:rPr>
          <w:i/>
          <w:color w:val="000000"/>
          <w:sz w:val="22"/>
        </w:rPr>
        <w:t xml:space="preserve">Amcham Energy Task Force. </w:t>
      </w:r>
      <w:r>
        <w:rPr>
          <w:color w:val="000000"/>
          <w:sz w:val="22"/>
        </w:rPr>
        <w:t>Met with AMCHAM energy task force with regard to gas. The meeting was attended by representatives from the Embassy, Exxon Mobil and Enron (Oil &amp; gas division). Set to meet with El Paso in the near future.   Working to come to consensus on a white paper with Unocal, CMS, and Exxon. Our understanding is that the Indian Institute of Management has drafted a national Gas Law; it is going first to GAIL for comments and input. The Group also deliberated on strategies to ensure the early introduction of the Gas Act, so as that the industry can be prepared when the Administered Pricing Mechanism (APM) is done away with in mid- 2002.  An approach will be taken so that both the Embassy and the Chamber work together to ensure that the liberalisation of this sector is on track and not delayed by the lack of a champion. The need to interact closely with the new secretary was also recognised, given that he was formerly associated with the Food Ministry</w:t>
      </w:r>
      <w:r>
        <w:rPr>
          <w:color w:val="000000"/>
        </w:rPr>
        <w:t>!</w:t>
      </w:r>
    </w:p>
    <w:p>
      <w:pPr>
        <w:pStyle w:val="Normal"/>
        <w:spacing w:lineRule="atLeast" w:line="240"/>
        <w:jc w:val="both"/>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r>
    </w:p>
    <w:p>
      <w:pPr>
        <w:pStyle w:val="Normal"/>
        <w:numPr>
          <w:ilvl w:val="0"/>
          <w:numId w:val="22"/>
        </w:numPr>
        <w:spacing w:lineRule="atLeast" w:line="240"/>
        <w:jc w:val="both"/>
        <w:rPr>
          <w:rFonts w:ascii="Bookman Old Style" w:hAnsi="Bookman Old Style" w:cs="Bookman Old Style"/>
          <w:color w:val="000000"/>
          <w:sz w:val="22"/>
          <w:lang w:eastAsia="en-US"/>
        </w:rPr>
      </w:pPr>
      <w:r>
        <w:rPr>
          <w:rFonts w:cs="Bookman Old Style" w:ascii="Bookman Old Style" w:hAnsi="Bookman Old Style"/>
          <w:i/>
          <w:color w:val="000000"/>
          <w:sz w:val="22"/>
          <w:lang w:eastAsia="en-US"/>
        </w:rPr>
        <w:t xml:space="preserve">GAIL/MPCL co-op agreement. </w:t>
      </w:r>
      <w:r>
        <w:rPr>
          <w:rFonts w:cs="Bookman Old Style" w:ascii="Bookman Old Style" w:hAnsi="Bookman Old Style"/>
          <w:color w:val="000000"/>
          <w:sz w:val="22"/>
          <w:lang w:eastAsia="en-US"/>
        </w:rPr>
        <w:t xml:space="preserve">Discussion with Rani Jadhav regarding meeting between Maharashtra CM and Minister of MOP&amp;NG.  </w:t>
      </w:r>
    </w:p>
    <w:p>
      <w:pPr>
        <w:pStyle w:val="Normal"/>
        <w:spacing w:lineRule="atLeast" w:line="240"/>
        <w:jc w:val="both"/>
        <w:rPr>
          <w:rFonts w:ascii="Bookman Old Style" w:hAnsi="Bookman Old Style" w:cs="Bookman Old Style"/>
          <w:color w:val="000000"/>
          <w:sz w:val="22"/>
          <w:u w:val="single"/>
          <w:lang w:eastAsia="en-US"/>
        </w:rPr>
      </w:pPr>
      <w:r>
        <w:rPr>
          <w:rFonts w:cs="Bookman Old Style" w:ascii="Bookman Old Style" w:hAnsi="Bookman Old Style"/>
          <w:color w:val="000000"/>
          <w:sz w:val="22"/>
          <w:u w:val="single"/>
          <w:lang w:eastAsia="en-US"/>
        </w:rPr>
      </w:r>
    </w:p>
    <w:p>
      <w:pPr>
        <w:pStyle w:val="BodyTextIndent"/>
        <w:numPr>
          <w:ilvl w:val="0"/>
          <w:numId w:val="3"/>
        </w:numPr>
        <w:jc w:val="both"/>
        <w:rPr>
          <w:sz w:val="22"/>
        </w:rPr>
      </w:pPr>
      <w:r>
        <w:rPr>
          <w:i/>
          <w:sz w:val="22"/>
        </w:rPr>
        <w:t xml:space="preserve">Oman LNG contract. </w:t>
      </w:r>
      <w:r>
        <w:rPr>
          <w:sz w:val="22"/>
        </w:rPr>
        <w:t>Worked on the Oman LNG Sale and purchase contract with respect to milestone schedules.  Prepared summary of Abu Dhabi LNG Agreement with reference to various dates, payment formula &amp; related obligations and Take-or -Pay liability formula and other details.</w:t>
      </w:r>
    </w:p>
    <w:p>
      <w:pPr>
        <w:pStyle w:val="BodyTextIndent"/>
        <w:ind w:start="0" w:end="0"/>
        <w:jc w:val="both"/>
        <w:rPr>
          <w:sz w:val="22"/>
        </w:rPr>
      </w:pPr>
      <w:r>
        <w:rPr>
          <w:sz w:val="22"/>
        </w:rPr>
      </w:r>
    </w:p>
    <w:p>
      <w:pPr>
        <w:pStyle w:val="Normal"/>
        <w:numPr>
          <w:ilvl w:val="0"/>
          <w:numId w:val="21"/>
        </w:numPr>
        <w:spacing w:lineRule="atLeast" w:line="240"/>
        <w:jc w:val="both"/>
        <w:rPr>
          <w:sz w:val="22"/>
        </w:rPr>
      </w:pPr>
      <w:r>
        <w:rPr>
          <w:rFonts w:cs="Bookman Old Style" w:ascii="Bookman Old Style" w:hAnsi="Bookman Old Style"/>
          <w:i/>
          <w:sz w:val="22"/>
          <w:lang w:eastAsia="en-US"/>
        </w:rPr>
        <w:t xml:space="preserve">Gujarat Gas Act. </w:t>
      </w:r>
      <w:r>
        <w:rPr>
          <w:rFonts w:cs="Bookman Old Style" w:ascii="Bookman Old Style" w:hAnsi="Bookman Old Style"/>
          <w:color w:val="000000"/>
          <w:sz w:val="22"/>
          <w:lang w:eastAsia="en-US"/>
        </w:rPr>
        <w:t>The Government of Gujarat, with the help of London-based Ashurst, Morris Crisp, has prepared "The Gujarat Gas Bill, 1999.  According to GSPCL, the bill could not be tabled during the last two sessions of the Assembly due to lack of time.  However, the Government has now resorted to the ordinance route to formulate the Gas Act. The bill has been sent to the Governor of Gujarat for his assent. Once the ordinance is promulgated, GSPCL will become the nodal agency for the development of the gas grid in Gujarat. GSPCL has floated a separate company  "Gujarat State Petronet Ltd. (GSPL)" for laying the grid in the state.</w:t>
      </w:r>
    </w:p>
    <w:p>
      <w:pPr>
        <w:pStyle w:val="Normal"/>
        <w:numPr>
          <w:ilvl w:val="0"/>
          <w:numId w:val="13"/>
        </w:numPr>
        <w:spacing w:lineRule="atLeast" w:line="240"/>
        <w:rPr>
          <w:rFonts w:ascii="Bookman Old Style" w:hAnsi="Bookman Old Style" w:cs="Bookman Old Style"/>
          <w:color w:val="000000"/>
          <w:sz w:val="22"/>
          <w:lang w:eastAsia="en-US"/>
        </w:rPr>
      </w:pPr>
      <w:r>
        <w:rPr>
          <w:rFonts w:cs="Bookman Old Style" w:ascii="Bookman Old Style" w:hAnsi="Bookman Old Style"/>
          <w:i/>
          <w:color w:val="000000"/>
          <w:sz w:val="22"/>
          <w:lang w:eastAsia="en-US"/>
        </w:rPr>
        <w:t>LNG Position Paper</w:t>
      </w:r>
      <w:r>
        <w:rPr>
          <w:rFonts w:cs="Bookman Old Style" w:ascii="Bookman Old Style" w:hAnsi="Bookman Old Style"/>
          <w:b/>
          <w:i/>
          <w:color w:val="000000"/>
          <w:sz w:val="22"/>
          <w:lang w:eastAsia="en-US"/>
        </w:rPr>
        <w:t>.</w:t>
      </w:r>
      <w:r>
        <w:rPr>
          <w:rFonts w:cs="Bookman Old Style" w:ascii="Bookman Old Style" w:hAnsi="Bookman Old Style"/>
          <w:color w:val="000000"/>
          <w:sz w:val="22"/>
          <w:lang w:eastAsia="en-US"/>
        </w:rPr>
        <w:t xml:space="preserve">  The Committee Of Secretaries has considered the LNG Paper proposed by Core Group of Secretaries and had the following comments”</w:t>
      </w:r>
    </w:p>
    <w:p>
      <w:pPr>
        <w:pStyle w:val="Normal"/>
        <w:spacing w:lineRule="atLeast" w:line="240"/>
        <w:jc w:val="both"/>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r>
    </w:p>
    <w:p>
      <w:pPr>
        <w:pStyle w:val="BodyTextIndent2"/>
        <w:rPr/>
      </w:pPr>
      <w:r>
        <w:rPr/>
        <w:t>-  The number of FIPB approvals for setting up LNG terminals will not be limited;</w:t>
      </w:r>
    </w:p>
    <w:p>
      <w:pPr>
        <w:pStyle w:val="Normal"/>
        <w:spacing w:lineRule="atLeast" w:line="240"/>
        <w:ind w:start="720" w:end="0"/>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t xml:space="preserve">-  The Ministry of Finance is to consider the proposed tax concessions sympathetically; </w:t>
      </w:r>
    </w:p>
    <w:p>
      <w:pPr>
        <w:pStyle w:val="Normal"/>
        <w:spacing w:lineRule="atLeast" w:line="240"/>
        <w:ind w:start="720" w:end="0"/>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t>-  The Petroleum Ministry is to reconsider the proposal of Regulator regulating the import price of LNG and also prices for third party access to pipelines;</w:t>
      </w:r>
    </w:p>
    <w:p>
      <w:pPr>
        <w:pStyle w:val="Normal"/>
        <w:spacing w:lineRule="atLeast" w:line="240"/>
        <w:ind w:start="720" w:end="0"/>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t xml:space="preserve">-  Power and Surface Transport is to examine how to safeguard the existing LNG CIF contracts from new FOB mandatory shipping policy; </w:t>
      </w:r>
    </w:p>
    <w:p>
      <w:pPr>
        <w:pStyle w:val="Normal"/>
        <w:spacing w:lineRule="atLeast" w:line="240"/>
        <w:ind w:start="720" w:end="0"/>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t>-  Thereafter, the Policy is to be taken up with the Cabinet for final decision</w:t>
      </w:r>
    </w:p>
    <w:p>
      <w:pPr>
        <w:pStyle w:val="Normal"/>
        <w:spacing w:lineRule="atLeast" w:line="240"/>
        <w:ind w:start="720" w:end="0"/>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t>-  Presently The Ministry of Petroleum and Natural Gas is taking follow-up action on the above-mentioned actions, including preparation of a draft cabinet note.</w:t>
      </w:r>
    </w:p>
    <w:p>
      <w:pPr>
        <w:pStyle w:val="Normal"/>
        <w:spacing w:lineRule="atLeast" w:line="240"/>
        <w:ind w:start="720" w:end="0"/>
        <w:jc w:val="both"/>
        <w:rPr>
          <w:rFonts w:ascii="Bookman Old Style" w:hAnsi="Bookman Old Style" w:eastAsia="Bookman Old Style" w:cs="Bookman Old Style"/>
          <w:color w:val="000000"/>
          <w:sz w:val="22"/>
          <w:lang w:eastAsia="en-US"/>
        </w:rPr>
      </w:pPr>
      <w:r>
        <w:rPr>
          <w:rFonts w:eastAsia="Bookman Old Style" w:cs="Bookman Old Style" w:ascii="Bookman Old Style" w:hAnsi="Bookman Old Style"/>
          <w:color w:val="000000"/>
          <w:sz w:val="22"/>
          <w:lang w:eastAsia="en-US"/>
        </w:rPr>
        <w:t xml:space="preserve"> </w:t>
      </w:r>
    </w:p>
    <w:p>
      <w:pPr>
        <w:pStyle w:val="Normal"/>
        <w:numPr>
          <w:ilvl w:val="0"/>
          <w:numId w:val="8"/>
        </w:numPr>
        <w:spacing w:lineRule="atLeast" w:line="240"/>
        <w:rPr>
          <w:rFonts w:ascii="Bookman Old Style" w:hAnsi="Bookman Old Style" w:cs="Bookman Old Style"/>
          <w:color w:val="000000"/>
          <w:sz w:val="22"/>
          <w:lang w:eastAsia="en-US"/>
        </w:rPr>
      </w:pPr>
      <w:r>
        <w:rPr>
          <w:rFonts w:cs="Bookman Old Style" w:ascii="Bookman Old Style" w:hAnsi="Bookman Old Style"/>
          <w:i/>
          <w:color w:val="000000"/>
          <w:sz w:val="22"/>
          <w:lang w:eastAsia="en-US"/>
        </w:rPr>
        <w:t>LNG Regulator</w:t>
      </w:r>
      <w:r>
        <w:rPr>
          <w:rFonts w:cs="Bookman Old Style" w:ascii="Bookman Old Style" w:hAnsi="Bookman Old Style"/>
          <w:b/>
          <w:i/>
          <w:color w:val="000000"/>
          <w:sz w:val="22"/>
          <w:lang w:eastAsia="en-US"/>
        </w:rPr>
        <w:t xml:space="preserve">.  </w:t>
      </w:r>
      <w:r>
        <w:rPr>
          <w:rFonts w:cs="Bookman Old Style" w:ascii="Bookman Old Style" w:hAnsi="Bookman Old Style"/>
          <w:b/>
          <w:color w:val="000000"/>
          <w:sz w:val="22"/>
          <w:lang w:eastAsia="en-US"/>
        </w:rPr>
        <w:t xml:space="preserve"> </w:t>
      </w:r>
      <w:r>
        <w:rPr>
          <w:rFonts w:cs="Bookman Old Style" w:ascii="Bookman Old Style" w:hAnsi="Bookman Old Style"/>
          <w:color w:val="000000"/>
          <w:sz w:val="22"/>
          <w:lang w:eastAsia="en-US"/>
        </w:rPr>
        <w:t>Considering the above, the Ministry of Petroleum and Natural Gas may come up with draft bill of LNG regulation once Cabinet takes a final decision on the LNG Policy.</w:t>
      </w:r>
    </w:p>
    <w:p>
      <w:pPr>
        <w:pStyle w:val="Normal"/>
        <w:spacing w:lineRule="atLeast" w:line="240"/>
        <w:jc w:val="both"/>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r>
    </w:p>
    <w:p>
      <w:pPr>
        <w:pStyle w:val="Normal"/>
        <w:jc w:val="both"/>
        <w:rPr>
          <w:sz w:val="22"/>
        </w:rPr>
      </w:pPr>
      <w:r>
        <w:rPr>
          <w:sz w:val="22"/>
        </w:rPr>
      </w:r>
    </w:p>
    <w:p>
      <w:pPr>
        <w:pStyle w:val="Heading1"/>
        <w:ind w:hanging="0" w:start="0"/>
        <w:jc w:val="both"/>
        <w:rPr>
          <w:sz w:val="22"/>
        </w:rPr>
      </w:pPr>
      <w:r>
        <w:rPr>
          <w:sz w:val="22"/>
        </w:rPr>
        <w:t>Electricity</w:t>
      </w:r>
    </w:p>
    <w:p>
      <w:pPr>
        <w:pStyle w:val="Normal"/>
        <w:spacing w:lineRule="atLeast" w:line="240"/>
        <w:jc w:val="both"/>
        <w:rPr>
          <w:rFonts w:ascii="Bookman Old Style" w:hAnsi="Bookman Old Style" w:cs="Bookman Old Style"/>
          <w:i/>
          <w:i/>
          <w:color w:val="000000"/>
          <w:sz w:val="22"/>
          <w:lang w:eastAsia="en-US"/>
        </w:rPr>
      </w:pPr>
      <w:r>
        <w:rPr>
          <w:rFonts w:cs="Bookman Old Style" w:ascii="Bookman Old Style" w:hAnsi="Bookman Old Style"/>
          <w:i/>
          <w:color w:val="000000"/>
          <w:sz w:val="22"/>
          <w:lang w:eastAsia="en-US"/>
        </w:rPr>
      </w:r>
    </w:p>
    <w:p>
      <w:pPr>
        <w:pStyle w:val="Normal"/>
        <w:numPr>
          <w:ilvl w:val="0"/>
          <w:numId w:val="18"/>
        </w:numPr>
        <w:spacing w:lineRule="atLeast" w:line="240"/>
        <w:rPr>
          <w:rFonts w:ascii="Bookman Old Style" w:hAnsi="Bookman Old Style" w:cs="Bookman Old Style"/>
          <w:color w:val="000000"/>
          <w:sz w:val="22"/>
          <w:lang w:eastAsia="en-US"/>
        </w:rPr>
      </w:pPr>
      <w:r>
        <w:rPr>
          <w:rFonts w:cs="Bookman Old Style" w:ascii="Bookman Old Style" w:hAnsi="Bookman Old Style"/>
          <w:i/>
          <w:color w:val="000000"/>
          <w:sz w:val="22"/>
          <w:lang w:eastAsia="en-US"/>
        </w:rPr>
        <w:t xml:space="preserve">NACER draft by MoP. </w:t>
      </w:r>
      <w:r>
        <w:rPr>
          <w:rFonts w:cs="Bookman Old Style" w:ascii="Bookman Old Style" w:hAnsi="Bookman Old Style"/>
          <w:color w:val="000000"/>
          <w:sz w:val="22"/>
          <w:lang w:eastAsia="en-US"/>
        </w:rPr>
        <w:t xml:space="preserve">Met with Ajay Shankar, Joint Secretary, as part of AMCHAM team regarding changes to the NCAER transparent draft by the Ministry of Power.  Mr. Shankar gave a broad outline of the Bill as drafted by the Ministry of Power, which is consistent with the draft we have seen courtesy of CII: (i) Generation.  While no license per se is required, CEA and the competent commission must be informed of developer's plans for a power plant.  Location and fuel are of particular concern and must be within the parameters of the most recent Power Plan. CEA will communicate its technical concerns to the competent regulatory commission which must respond to the developer within a prescribed time frame; (ii) the transmission existing framework will be retained, although there will be scope for the state to separate the transmission utility and load dispatch facility. The load dispatch facility (think ISO) will not be privatized to avoid commercial influences.  Dispatch will be made first under contracts and thereafter pursuant to regulatory admonitions.  If there are concerns regarding dispatch, they should be taken to a regulatory commission.  A transmission utility can be privatized entirely or broken into a number of transcos; (iii) Distribution is a natural monopoly subject to licensing; (iv) Third party access will be provided to transmission (to distribution when the regulator feels the time is right to give the regulator time to address the cross subsidies issues first); (v) Trading companies will be subject to licensing.  When access is granted to end users, the price to those end users will not be regulated; (vi) A vertically integrated distribution company will be allowed to exist.  For one thing, this may attract more investors in distribution.  The government will aggressively pursue privatization, and Mr. Shankar requested that AMCHAM hold a roundtable on the topic.  Mr. Shankar agreed to let us review the proposed Ministry draft first hand on November 22.  Because the draft must be introduced on November 23, it appears that the draft may not be introduced this session.  (Mr. Shankar is a state company advocate and is </w:t>
      </w:r>
      <w:r>
        <w:rPr>
          <w:rFonts w:cs="Bookman Old Style" w:ascii="Bookman Old Style" w:hAnsi="Bookman Old Style"/>
          <w:color w:val="000000"/>
          <w:sz w:val="22"/>
          <w:u w:val="single"/>
          <w:lang w:eastAsia="en-US"/>
        </w:rPr>
        <w:t>not</w:t>
      </w:r>
      <w:r>
        <w:rPr>
          <w:rFonts w:cs="Bookman Old Style" w:ascii="Bookman Old Style" w:hAnsi="Bookman Old Style"/>
          <w:color w:val="000000"/>
          <w:sz w:val="22"/>
          <w:lang w:eastAsia="en-US"/>
        </w:rPr>
        <w:t xml:space="preserve"> an advocate of competition and restructuring.)  However, we also separately understand that </w:t>
      </w:r>
      <w:r>
        <w:rPr>
          <w:rFonts w:cs="Bookman Old Style" w:ascii="Bookman Old Style" w:hAnsi="Bookman Old Style"/>
          <w:color w:val="000000"/>
          <w:sz w:val="24"/>
          <w:lang w:eastAsia="en-US"/>
        </w:rPr>
        <w:t xml:space="preserve">new Power Minister Prabhu wants to address the differences between final NCAER draft as approved by the Group of Ministers (GOM) with the MOP draft.  We further understand that he advised his team to circulate the MOP draft as finalised by GOM for comments by all concerned. </w:t>
      </w:r>
    </w:p>
    <w:p>
      <w:pPr>
        <w:pStyle w:val="Normal"/>
        <w:spacing w:lineRule="atLeast" w:line="240"/>
        <w:jc w:val="both"/>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r>
    </w:p>
    <w:p>
      <w:pPr>
        <w:pStyle w:val="Normal"/>
        <w:numPr>
          <w:ilvl w:val="0"/>
          <w:numId w:val="17"/>
        </w:numPr>
        <w:spacing w:lineRule="atLeast" w:line="240"/>
        <w:jc w:val="both"/>
        <w:rPr>
          <w:rFonts w:ascii="Bookman Old Style" w:hAnsi="Bookman Old Style" w:cs="Bookman Old Style"/>
          <w:color w:val="000000"/>
          <w:sz w:val="22"/>
          <w:lang w:eastAsia="en-US"/>
        </w:rPr>
      </w:pPr>
      <w:r>
        <w:rPr>
          <w:rFonts w:cs="Bookman Old Style" w:ascii="Bookman Old Style" w:hAnsi="Bookman Old Style"/>
          <w:i/>
          <w:color w:val="000000"/>
          <w:sz w:val="22"/>
          <w:lang w:eastAsia="en-US"/>
        </w:rPr>
        <w:t xml:space="preserve">Amcham strategy on Draft Electricity Bill 2000. </w:t>
      </w:r>
      <w:r>
        <w:rPr>
          <w:rFonts w:cs="Bookman Old Style" w:ascii="Bookman Old Style" w:hAnsi="Bookman Old Style"/>
          <w:color w:val="000000"/>
          <w:sz w:val="22"/>
          <w:lang w:eastAsia="en-US"/>
        </w:rPr>
        <w:t>Met with AMCHAM energy task force and worked to set AMCHAM strategy, along with Embassy representative, with regard to the Electricity Bill. A two- pronged strategy, in which both the Embassy and Amcham have the same script, is being developed. Amcham will set up a meeting with the Prime Minister's Office on the Electricity Bill in light of the fact that there is no champion, no reconciliation between the Ministry draft and that of NCAER, and the likelihood of a delay in introduction of the Bill.  The Ambassador will follow the same script in a meeting of his own. Working primarily with CMS and Southern to develop a white paper.  There is a joint draft of principles for power that will be published once a final draft is obtained.</w:t>
      </w:r>
    </w:p>
    <w:p>
      <w:pPr>
        <w:pStyle w:val="Normal"/>
        <w:spacing w:lineRule="atLeast" w:line="240"/>
        <w:jc w:val="both"/>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r>
    </w:p>
    <w:p>
      <w:pPr>
        <w:pStyle w:val="Normal"/>
        <w:numPr>
          <w:ilvl w:val="0"/>
          <w:numId w:val="24"/>
        </w:numPr>
        <w:spacing w:lineRule="atLeast" w:line="240"/>
        <w:jc w:val="both"/>
        <w:rPr>
          <w:rFonts w:ascii="Bookman Old Style" w:hAnsi="Bookman Old Style" w:cs="Bookman Old Style"/>
          <w:color w:val="000000"/>
          <w:sz w:val="22"/>
          <w:lang w:eastAsia="en-US"/>
        </w:rPr>
      </w:pPr>
      <w:r>
        <w:rPr>
          <w:rFonts w:cs="Bookman Old Style" w:ascii="Bookman Old Style" w:hAnsi="Bookman Old Style"/>
          <w:i/>
          <w:color w:val="000000"/>
          <w:sz w:val="22"/>
          <w:lang w:eastAsia="en-US"/>
        </w:rPr>
        <w:t xml:space="preserve">MSEB revenue projections. </w:t>
      </w:r>
      <w:r>
        <w:rPr>
          <w:rFonts w:cs="Bookman Old Style" w:ascii="Bookman Old Style" w:hAnsi="Bookman Old Style"/>
          <w:color w:val="000000"/>
          <w:sz w:val="22"/>
          <w:lang w:eastAsia="en-US"/>
        </w:rPr>
        <w:t xml:space="preserve">Confirmed revenue projections of MSEB for presentation to Houston on future plans regarding DPC.  </w:t>
      </w:r>
    </w:p>
    <w:p>
      <w:pPr>
        <w:pStyle w:val="Normal"/>
        <w:spacing w:lineRule="atLeast" w:line="240"/>
        <w:jc w:val="both"/>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r>
    </w:p>
    <w:p>
      <w:pPr>
        <w:pStyle w:val="Normal"/>
        <w:numPr>
          <w:ilvl w:val="0"/>
          <w:numId w:val="16"/>
        </w:numPr>
        <w:spacing w:lineRule="atLeast" w:line="240"/>
        <w:jc w:val="both"/>
        <w:rPr>
          <w:rFonts w:ascii="Bookman Old Style" w:hAnsi="Bookman Old Style" w:cs="Bookman Old Style"/>
          <w:color w:val="000000"/>
          <w:sz w:val="22"/>
          <w:lang w:eastAsia="en-US"/>
        </w:rPr>
      </w:pPr>
      <w:r>
        <w:rPr>
          <w:rFonts w:cs="Bookman Old Style" w:ascii="Bookman Old Style" w:hAnsi="Bookman Old Style"/>
          <w:i/>
          <w:color w:val="000000"/>
          <w:sz w:val="22"/>
          <w:lang w:eastAsia="en-US"/>
        </w:rPr>
        <w:t xml:space="preserve">MSEB rate case. </w:t>
      </w:r>
      <w:r>
        <w:rPr>
          <w:rFonts w:cs="Bookman Old Style" w:ascii="Bookman Old Style" w:hAnsi="Bookman Old Style"/>
          <w:color w:val="000000"/>
          <w:sz w:val="22"/>
          <w:lang w:eastAsia="en-US"/>
        </w:rPr>
        <w:t>Received request for assistance from a lower level MSEB employee who is collecting data for the MSEB rate case (to be filed December 1, an internal deadline).  If this request is confirmed by a mid-level management employee, then will need upper management to assist in getting confirmation from MSEB management levels with regard to the assistance.  Whereas MSEB has a retainer arrangement with Crisil, the lower level employee said MSEB prefers Enron's technical assistance.</w:t>
      </w:r>
    </w:p>
    <w:p>
      <w:pPr>
        <w:pStyle w:val="Normal"/>
        <w:keepLines/>
        <w:spacing w:lineRule="atLeast" w:line="240"/>
        <w:jc w:val="both"/>
        <w:rPr>
          <w:rFonts w:ascii="Bookman Old Style" w:hAnsi="Bookman Old Style" w:cs="Bookman Old Style"/>
          <w:i/>
          <w:i/>
          <w:color w:val="000000"/>
          <w:sz w:val="22"/>
          <w:lang w:eastAsia="en-US"/>
        </w:rPr>
      </w:pPr>
      <w:r>
        <w:rPr>
          <w:rFonts w:cs="Bookman Old Style" w:ascii="Bookman Old Style" w:hAnsi="Bookman Old Style"/>
          <w:i/>
          <w:color w:val="000000"/>
          <w:sz w:val="22"/>
          <w:lang w:eastAsia="en-US"/>
        </w:rPr>
      </w:r>
    </w:p>
    <w:p>
      <w:pPr>
        <w:pStyle w:val="Normal"/>
        <w:keepLines/>
        <w:numPr>
          <w:ilvl w:val="0"/>
          <w:numId w:val="7"/>
        </w:numPr>
        <w:spacing w:lineRule="atLeast" w:line="240"/>
        <w:jc w:val="both"/>
        <w:rPr>
          <w:rFonts w:ascii="Bookman Old Style" w:hAnsi="Bookman Old Style" w:cs="Bookman Old Style"/>
          <w:color w:val="000000"/>
          <w:sz w:val="22"/>
          <w:lang w:eastAsia="en-US"/>
        </w:rPr>
      </w:pPr>
      <w:r>
        <w:rPr>
          <w:rFonts w:cs="Bookman Old Style" w:ascii="Bookman Old Style" w:hAnsi="Bookman Old Style"/>
          <w:i/>
          <w:sz w:val="22"/>
        </w:rPr>
        <w:t>MSEB’s 2</w:t>
      </w:r>
      <w:r>
        <w:rPr>
          <w:rFonts w:cs="Bookman Old Style" w:ascii="Bookman Old Style" w:hAnsi="Bookman Old Style"/>
          <w:i/>
          <w:sz w:val="22"/>
          <w:vertAlign w:val="superscript"/>
        </w:rPr>
        <w:t>nd</w:t>
      </w:r>
      <w:r>
        <w:rPr>
          <w:rFonts w:cs="Bookman Old Style" w:ascii="Bookman Old Style" w:hAnsi="Bookman Old Style"/>
          <w:i/>
          <w:sz w:val="22"/>
        </w:rPr>
        <w:t xml:space="preserve"> rate filing. </w:t>
      </w:r>
      <w:r>
        <w:rPr>
          <w:rFonts w:cs="Bookman Old Style" w:ascii="Bookman Old Style" w:hAnsi="Bookman Old Style"/>
          <w:sz w:val="22"/>
        </w:rPr>
        <w:t xml:space="preserve">Coordinated through various meetings with MSEB the data collection and documentation process for MSEB's 2nd rate filing. Also started checking of draft Table of contents (FY 2001-02) prepared by DPC team, with MERC's order on 1st Rate Filing. </w:t>
      </w:r>
      <w:r>
        <w:rPr>
          <w:rFonts w:cs="Bookman Old Style" w:ascii="Bookman Old Style" w:hAnsi="Bookman Old Style"/>
          <w:color w:val="000000"/>
          <w:sz w:val="22"/>
          <w:lang w:eastAsia="en-US"/>
        </w:rPr>
        <w:t>Compiled methodologies for load forecast in electric utilities to determine applicability on MSEB for its current filing.</w:t>
      </w:r>
    </w:p>
    <w:p>
      <w:pPr>
        <w:pStyle w:val="Normal"/>
        <w:spacing w:lineRule="atLeast" w:line="240"/>
        <w:jc w:val="both"/>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r>
    </w:p>
    <w:p>
      <w:pPr>
        <w:pStyle w:val="Normal"/>
        <w:numPr>
          <w:ilvl w:val="0"/>
          <w:numId w:val="15"/>
        </w:numPr>
        <w:spacing w:lineRule="atLeast" w:line="240"/>
        <w:jc w:val="both"/>
        <w:rPr>
          <w:rFonts w:ascii="Bookman Old Style" w:hAnsi="Bookman Old Style" w:cs="Bookman Old Style"/>
          <w:color w:val="000000"/>
          <w:sz w:val="22"/>
          <w:lang w:eastAsia="en-US"/>
        </w:rPr>
      </w:pPr>
      <w:r>
        <w:rPr>
          <w:rFonts w:cs="Bookman Old Style" w:ascii="Bookman Old Style" w:hAnsi="Bookman Old Style"/>
          <w:i/>
          <w:color w:val="000000"/>
          <w:sz w:val="22"/>
          <w:lang w:eastAsia="en-US"/>
        </w:rPr>
        <w:t xml:space="preserve">MSEB dispatch projections. </w:t>
      </w:r>
      <w:r>
        <w:rPr>
          <w:rFonts w:cs="Bookman Old Style" w:ascii="Bookman Old Style" w:hAnsi="Bookman Old Style"/>
          <w:color w:val="000000"/>
          <w:sz w:val="22"/>
          <w:lang w:eastAsia="en-US"/>
        </w:rPr>
        <w:t>Cross checked MSEB dispatch projections &amp; related bottomline numbers.</w:t>
      </w:r>
    </w:p>
    <w:p>
      <w:pPr>
        <w:pStyle w:val="Normal"/>
        <w:spacing w:lineRule="atLeast" w:line="240"/>
        <w:jc w:val="both"/>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r>
    </w:p>
    <w:p>
      <w:pPr>
        <w:pStyle w:val="Normal"/>
        <w:numPr>
          <w:ilvl w:val="0"/>
          <w:numId w:val="23"/>
        </w:numPr>
        <w:spacing w:lineRule="atLeast" w:line="240"/>
        <w:jc w:val="both"/>
        <w:rPr>
          <w:rFonts w:ascii="Bookman Old Style" w:hAnsi="Bookman Old Style" w:cs="Bookman Old Style"/>
          <w:color w:val="000000"/>
          <w:sz w:val="22"/>
          <w:lang w:eastAsia="en-US"/>
        </w:rPr>
      </w:pPr>
      <w:r>
        <w:rPr>
          <w:rFonts w:cs="Bookman Old Style" w:ascii="Bookman Old Style" w:hAnsi="Bookman Old Style"/>
          <w:i/>
          <w:color w:val="000000"/>
          <w:sz w:val="22"/>
          <w:lang w:eastAsia="en-US"/>
        </w:rPr>
        <w:t xml:space="preserve">SEB ranking parameter. </w:t>
      </w:r>
      <w:r>
        <w:rPr>
          <w:rFonts w:cs="Bookman Old Style" w:ascii="Bookman Old Style" w:hAnsi="Bookman Old Style"/>
          <w:color w:val="000000"/>
          <w:sz w:val="22"/>
          <w:lang w:eastAsia="en-US"/>
        </w:rPr>
        <w:t>Worked on the SEB ranking parameter and its related importance for the power marketing team</w:t>
      </w:r>
    </w:p>
    <w:p>
      <w:pPr>
        <w:pStyle w:val="Normal"/>
        <w:spacing w:lineRule="atLeast" w:line="240"/>
        <w:jc w:val="both"/>
        <w:rPr>
          <w:rFonts w:ascii="Bookman Old Style" w:hAnsi="Bookman Old Style" w:cs="Bookman Old Style"/>
          <w:i/>
          <w:i/>
          <w:color w:val="000000"/>
          <w:sz w:val="22"/>
          <w:lang w:eastAsia="en-US"/>
        </w:rPr>
      </w:pPr>
      <w:r>
        <w:rPr>
          <w:rFonts w:cs="Bookman Old Style" w:ascii="Bookman Old Style" w:hAnsi="Bookman Old Style"/>
          <w:i/>
          <w:color w:val="000000"/>
          <w:sz w:val="22"/>
          <w:lang w:eastAsia="en-US"/>
        </w:rPr>
      </w:r>
    </w:p>
    <w:p>
      <w:pPr>
        <w:pStyle w:val="Normal"/>
        <w:keepLines/>
        <w:numPr>
          <w:ilvl w:val="0"/>
          <w:numId w:val="19"/>
        </w:numPr>
        <w:spacing w:lineRule="atLeast" w:line="240"/>
        <w:jc w:val="both"/>
        <w:rPr>
          <w:rFonts w:ascii="Bookman Old Style" w:hAnsi="Bookman Old Style" w:cs="Bookman Old Style"/>
          <w:b/>
          <w:color w:val="000000"/>
          <w:sz w:val="22"/>
          <w:lang w:eastAsia="en-US"/>
        </w:rPr>
      </w:pPr>
      <w:r>
        <w:rPr>
          <w:rFonts w:cs="Bookman Old Style" w:ascii="Bookman Old Style" w:hAnsi="Bookman Old Style"/>
          <w:i/>
          <w:color w:val="000000"/>
          <w:sz w:val="22"/>
          <w:lang w:eastAsia="en-US"/>
        </w:rPr>
        <w:t xml:space="preserve">Gujarat &amp; AP order. </w:t>
      </w:r>
      <w:r>
        <w:rPr>
          <w:rFonts w:cs="Bookman Old Style" w:ascii="Bookman Old Style" w:hAnsi="Bookman Old Style"/>
          <w:color w:val="000000"/>
          <w:sz w:val="22"/>
          <w:lang w:eastAsia="en-US"/>
        </w:rPr>
        <w:t>Reviewed the Gujarat and AP order.</w:t>
      </w:r>
    </w:p>
    <w:p>
      <w:pPr>
        <w:pStyle w:val="Normal"/>
        <w:keepLines/>
        <w:tabs>
          <w:tab w:val="clear" w:pos="720"/>
          <w:tab w:val="left" w:pos="827" w:leader="none"/>
        </w:tabs>
        <w:spacing w:lineRule="atLeast" w:line="240"/>
        <w:jc w:val="both"/>
        <w:rPr>
          <w:rFonts w:ascii="Bookman Old Style" w:hAnsi="Bookman Old Style" w:cs="Bookman Old Style"/>
          <w:b/>
          <w:i/>
          <w:i/>
          <w:color w:val="000000"/>
          <w:sz w:val="22"/>
          <w:lang w:eastAsia="en-US"/>
        </w:rPr>
      </w:pPr>
      <w:r>
        <w:rPr>
          <w:rFonts w:cs="Bookman Old Style" w:ascii="Bookman Old Style" w:hAnsi="Bookman Old Style"/>
          <w:b/>
          <w:i/>
          <w:color w:val="000000"/>
          <w:sz w:val="22"/>
          <w:lang w:eastAsia="en-US"/>
        </w:rPr>
      </w:r>
    </w:p>
    <w:p>
      <w:pPr>
        <w:pStyle w:val="Normal"/>
        <w:keepLines/>
        <w:numPr>
          <w:ilvl w:val="0"/>
          <w:numId w:val="2"/>
        </w:numPr>
        <w:tabs>
          <w:tab w:val="clear" w:pos="720"/>
          <w:tab w:val="left" w:pos="827" w:leader="none"/>
        </w:tabs>
        <w:spacing w:lineRule="atLeast" w:line="240"/>
        <w:jc w:val="both"/>
        <w:rPr>
          <w:rFonts w:ascii="Arial" w:hAnsi="Arial" w:cs="Arial"/>
          <w:color w:val="000000"/>
          <w:sz w:val="22"/>
          <w:lang w:eastAsia="en-US"/>
        </w:rPr>
      </w:pPr>
      <w:r>
        <w:rPr>
          <w:rFonts w:cs="Bookman Old Style" w:ascii="Bookman Old Style" w:hAnsi="Bookman Old Style"/>
          <w:i/>
          <w:color w:val="000000"/>
          <w:sz w:val="22"/>
          <w:lang w:eastAsia="en-US"/>
        </w:rPr>
        <w:t xml:space="preserve">Third party sales. </w:t>
      </w:r>
      <w:r>
        <w:rPr>
          <w:rFonts w:cs="Bookman Old Style" w:ascii="Bookman Old Style" w:hAnsi="Bookman Old Style"/>
          <w:color w:val="000000"/>
          <w:sz w:val="22"/>
          <w:lang w:eastAsia="en-US"/>
        </w:rPr>
        <w:t>Continued the build-up for the expert system leading at determining the most appropriate state for power marketing in India.  The system will allow power marketing team to determine the most relevant criteria to rank the states in India. Also, completed data collection for ranking states.</w:t>
      </w:r>
    </w:p>
    <w:p>
      <w:pPr>
        <w:pStyle w:val="Normal"/>
        <w:spacing w:lineRule="atLeast" w:line="240"/>
        <w:jc w:val="both"/>
        <w:rPr>
          <w:rFonts w:ascii="Bookman Old Style" w:hAnsi="Bookman Old Style" w:cs="Bookman Old Style"/>
          <w:i/>
          <w:i/>
          <w:color w:val="000000"/>
          <w:sz w:val="22"/>
          <w:lang w:eastAsia="en-US"/>
        </w:rPr>
      </w:pPr>
      <w:r>
        <w:rPr>
          <w:rFonts w:cs="Bookman Old Style" w:ascii="Bookman Old Style" w:hAnsi="Bookman Old Style"/>
          <w:i/>
          <w:color w:val="000000"/>
          <w:sz w:val="22"/>
          <w:lang w:eastAsia="en-US"/>
        </w:rPr>
      </w:r>
    </w:p>
    <w:p>
      <w:pPr>
        <w:pStyle w:val="BodyText"/>
        <w:numPr>
          <w:ilvl w:val="0"/>
          <w:numId w:val="5"/>
        </w:numPr>
        <w:jc w:val="both"/>
        <w:rPr>
          <w:color w:val="auto"/>
          <w:sz w:val="22"/>
        </w:rPr>
      </w:pPr>
      <w:r>
        <w:rPr>
          <w:i/>
          <w:color w:val="auto"/>
          <w:sz w:val="22"/>
        </w:rPr>
        <w:t xml:space="preserve">TERI Conference. </w:t>
      </w:r>
      <w:r>
        <w:rPr>
          <w:color w:val="auto"/>
          <w:sz w:val="22"/>
        </w:rPr>
        <w:t>Participated in</w:t>
      </w:r>
      <w:r>
        <w:rPr>
          <w:i/>
          <w:color w:val="auto"/>
          <w:sz w:val="22"/>
        </w:rPr>
        <w:t xml:space="preserve"> </w:t>
      </w:r>
      <w:r>
        <w:rPr>
          <w:color w:val="auto"/>
          <w:sz w:val="22"/>
        </w:rPr>
        <w:t>the TERI organized conference, at New Delhi, on "Regulation in Infrastructure Services: progress and the way forward" – Nov 14</w:t>
      </w:r>
      <w:r>
        <w:rPr>
          <w:color w:val="auto"/>
          <w:sz w:val="22"/>
          <w:vertAlign w:val="superscript"/>
        </w:rPr>
        <w:t>th</w:t>
      </w:r>
      <w:r>
        <w:rPr>
          <w:color w:val="auto"/>
          <w:sz w:val="22"/>
        </w:rPr>
        <w:t xml:space="preserve"> &amp; 15</w:t>
      </w:r>
      <w:r>
        <w:rPr>
          <w:color w:val="auto"/>
          <w:sz w:val="22"/>
          <w:vertAlign w:val="superscript"/>
        </w:rPr>
        <w:t>th</w:t>
      </w:r>
      <w:r>
        <w:rPr>
          <w:color w:val="auto"/>
          <w:sz w:val="22"/>
        </w:rPr>
        <w:t>. Gave a presentation on “Competition in the Electricity Markets”.</w:t>
      </w:r>
    </w:p>
    <w:p>
      <w:pPr>
        <w:pStyle w:val="Normal"/>
        <w:keepLines/>
        <w:tabs>
          <w:tab w:val="clear" w:pos="720"/>
          <w:tab w:val="left" w:pos="827" w:leader="none"/>
        </w:tabs>
        <w:spacing w:lineRule="atLeast" w:line="240"/>
        <w:jc w:val="both"/>
        <w:rPr>
          <w:rFonts w:ascii="Bookman Old Style" w:hAnsi="Bookman Old Style" w:cs="Bookman Old Style"/>
          <w:b/>
          <w:color w:val="000000"/>
          <w:sz w:val="22"/>
          <w:lang w:eastAsia="en-US"/>
        </w:rPr>
      </w:pPr>
      <w:r>
        <w:rPr>
          <w:rFonts w:cs="Bookman Old Style" w:ascii="Bookman Old Style" w:hAnsi="Bookman Old Style"/>
          <w:b/>
          <w:color w:val="000000"/>
          <w:sz w:val="22"/>
          <w:lang w:eastAsia="en-US"/>
        </w:rPr>
      </w:r>
    </w:p>
    <w:p>
      <w:pPr>
        <w:pStyle w:val="Normal"/>
        <w:keepLines/>
        <w:numPr>
          <w:ilvl w:val="0"/>
          <w:numId w:val="20"/>
        </w:numPr>
        <w:tabs>
          <w:tab w:val="clear" w:pos="720"/>
          <w:tab w:val="left" w:pos="827" w:leader="none"/>
        </w:tabs>
        <w:spacing w:lineRule="atLeast" w:line="240"/>
        <w:jc w:val="both"/>
        <w:rPr>
          <w:rFonts w:ascii="Bookman Old Style" w:hAnsi="Bookman Old Style" w:cs="Bookman Old Style"/>
          <w:color w:val="000000"/>
          <w:sz w:val="22"/>
          <w:lang w:eastAsia="en-US"/>
        </w:rPr>
      </w:pPr>
      <w:r>
        <w:rPr>
          <w:rFonts w:cs="Bookman Old Style" w:ascii="Bookman Old Style" w:hAnsi="Bookman Old Style"/>
          <w:i/>
          <w:color w:val="000000"/>
          <w:sz w:val="22"/>
          <w:lang w:eastAsia="en-US"/>
        </w:rPr>
        <w:t xml:space="preserve">CERA Conference. </w:t>
      </w:r>
      <w:r>
        <w:rPr>
          <w:rFonts w:cs="Bookman Old Style" w:ascii="Bookman Old Style" w:hAnsi="Bookman Old Style"/>
          <w:color w:val="000000"/>
          <w:sz w:val="22"/>
          <w:lang w:eastAsia="en-US"/>
        </w:rPr>
        <w:t>Represented GA for CERA conference in Houston on Nov. 7</w:t>
      </w:r>
      <w:r>
        <w:rPr>
          <w:rFonts w:cs="Bookman Old Style" w:ascii="Bookman Old Style" w:hAnsi="Bookman Old Style"/>
          <w:color w:val="000000"/>
          <w:sz w:val="22"/>
          <w:vertAlign w:val="superscript"/>
          <w:lang w:eastAsia="en-US"/>
        </w:rPr>
        <w:t>th</w:t>
      </w:r>
      <w:r>
        <w:rPr>
          <w:rFonts w:cs="Bookman Old Style" w:ascii="Bookman Old Style" w:hAnsi="Bookman Old Style"/>
          <w:color w:val="000000"/>
          <w:sz w:val="22"/>
          <w:lang w:eastAsia="en-US"/>
        </w:rPr>
        <w:t xml:space="preserve"> </w:t>
      </w:r>
    </w:p>
    <w:p>
      <w:pPr>
        <w:pStyle w:val="Heading1"/>
        <w:ind w:hanging="0" w:start="0"/>
        <w:jc w:val="both"/>
        <w:rPr>
          <w:rFonts w:ascii="Bookman Old Style" w:hAnsi="Bookman Old Style" w:cs="Bookman Old Style"/>
          <w:b w:val="false"/>
          <w:color w:val="auto"/>
          <w:sz w:val="22"/>
          <w:lang w:eastAsia="en-US"/>
        </w:rPr>
      </w:pPr>
      <w:r>
        <w:rPr>
          <w:rFonts w:cs="Bookman Old Style"/>
          <w:b w:val="false"/>
          <w:color w:val="auto"/>
          <w:sz w:val="22"/>
          <w:lang w:eastAsia="en-US"/>
        </w:rPr>
      </w:r>
    </w:p>
    <w:p>
      <w:pPr>
        <w:pStyle w:val="Heading1"/>
        <w:numPr>
          <w:ilvl w:val="0"/>
          <w:numId w:val="10"/>
        </w:numPr>
        <w:jc w:val="both"/>
        <w:rPr>
          <w:b w:val="false"/>
          <w:color w:val="auto"/>
          <w:sz w:val="22"/>
        </w:rPr>
      </w:pPr>
      <w:r>
        <w:rPr>
          <w:b w:val="false"/>
          <w:i/>
          <w:color w:val="auto"/>
          <w:sz w:val="22"/>
        </w:rPr>
        <w:t xml:space="preserve">Regulatory support. </w:t>
      </w:r>
      <w:r>
        <w:rPr>
          <w:b w:val="false"/>
          <w:color w:val="auto"/>
          <w:sz w:val="22"/>
        </w:rPr>
        <w:t>Continued the support of GA to the Regulatory Risk Measurement efforts in preparation for presentation to Houston on DPC strategy.</w:t>
      </w:r>
    </w:p>
    <w:p>
      <w:pPr>
        <w:pStyle w:val="Heading1"/>
        <w:ind w:hanging="0" w:start="0"/>
        <w:jc w:val="both"/>
        <w:rPr>
          <w:b w:val="false"/>
          <w:color w:val="auto"/>
          <w:sz w:val="22"/>
        </w:rPr>
      </w:pPr>
      <w:r>
        <w:rPr>
          <w:b w:val="false"/>
          <w:color w:val="auto"/>
          <w:sz w:val="22"/>
        </w:rPr>
      </w:r>
    </w:p>
    <w:p>
      <w:pPr>
        <w:pStyle w:val="Heading1"/>
        <w:ind w:hanging="0" w:start="0"/>
        <w:jc w:val="both"/>
        <w:rPr>
          <w:color w:val="auto"/>
          <w:sz w:val="22"/>
        </w:rPr>
      </w:pPr>
      <w:r>
        <w:rPr>
          <w:color w:val="auto"/>
          <w:sz w:val="22"/>
        </w:rPr>
        <w:t>Communications</w:t>
      </w:r>
    </w:p>
    <w:p>
      <w:pPr>
        <w:pStyle w:val="Normal"/>
        <w:keepLines/>
        <w:tabs>
          <w:tab w:val="clear" w:pos="720"/>
          <w:tab w:val="left" w:pos="2227" w:leader="none"/>
        </w:tabs>
        <w:spacing w:lineRule="atLeast" w:line="240"/>
        <w:jc w:val="both"/>
        <w:rPr>
          <w:rFonts w:ascii="Bookman Old Style" w:hAnsi="Bookman Old Style" w:cs="Bookman Old Style"/>
          <w:i/>
          <w:i/>
          <w:color w:val="FF0000"/>
          <w:sz w:val="22"/>
          <w:lang w:eastAsia="en-US"/>
        </w:rPr>
      </w:pPr>
      <w:r>
        <w:rPr>
          <w:rFonts w:cs="Bookman Old Style" w:ascii="Bookman Old Style" w:hAnsi="Bookman Old Style"/>
          <w:i/>
          <w:color w:val="FF0000"/>
          <w:sz w:val="22"/>
          <w:lang w:eastAsia="en-US"/>
        </w:rPr>
      </w:r>
    </w:p>
    <w:p>
      <w:pPr>
        <w:pStyle w:val="BodyText"/>
        <w:numPr>
          <w:ilvl w:val="0"/>
          <w:numId w:val="14"/>
        </w:numPr>
        <w:jc w:val="both"/>
        <w:rPr>
          <w:i/>
          <w:i/>
          <w:sz w:val="22"/>
        </w:rPr>
      </w:pPr>
      <w:r>
        <w:rPr>
          <w:i/>
          <w:sz w:val="22"/>
        </w:rPr>
        <w:t xml:space="preserve">Comments on ICE Bill 2000. </w:t>
      </w:r>
      <w:r>
        <w:rPr>
          <w:sz w:val="22"/>
        </w:rPr>
        <w:t xml:space="preserve">Filed Comments on Information, Communication &amp; Entertainment draft Bill.  The comments listed a number of concerns with the proposed regulatory structure, particularly the creation of two regulators with often overlapping functions.  Enron agreed with the suggestions made by the Sub-group on Convergence formed out of the PMO. </w:t>
      </w:r>
    </w:p>
    <w:p>
      <w:pPr>
        <w:pStyle w:val="BodyText"/>
        <w:jc w:val="both"/>
        <w:rPr>
          <w:i/>
          <w:i/>
          <w:sz w:val="22"/>
        </w:rPr>
      </w:pPr>
      <w:r>
        <w:rPr>
          <w:i/>
          <w:sz w:val="22"/>
        </w:rPr>
      </w:r>
    </w:p>
    <w:p>
      <w:pPr>
        <w:pStyle w:val="Normal"/>
        <w:numPr>
          <w:ilvl w:val="0"/>
          <w:numId w:val="6"/>
        </w:numPr>
        <w:spacing w:lineRule="atLeast" w:line="240"/>
        <w:jc w:val="both"/>
        <w:rPr>
          <w:rFonts w:ascii="Bookman Old Style" w:hAnsi="Bookman Old Style" w:cs="Bookman Old Style"/>
          <w:sz w:val="22"/>
          <w:lang w:eastAsia="en-US"/>
        </w:rPr>
      </w:pPr>
      <w:r>
        <w:rPr>
          <w:rFonts w:cs="Bookman Old Style" w:ascii="Bookman Old Style" w:hAnsi="Bookman Old Style"/>
          <w:i/>
          <w:sz w:val="22"/>
          <w:lang w:eastAsia="en-US"/>
        </w:rPr>
        <w:t xml:space="preserve">i2 Agreement. </w:t>
      </w:r>
      <w:r>
        <w:rPr>
          <w:rFonts w:cs="Bookman Old Style" w:ascii="Bookman Old Style" w:hAnsi="Bookman Old Style"/>
          <w:sz w:val="22"/>
          <w:lang w:eastAsia="en-US"/>
        </w:rPr>
        <w:t xml:space="preserve">Determined the licensing requirements for India for the i2 agreement and the fact that Broadband Services' ISP license will suffice. </w:t>
      </w:r>
    </w:p>
    <w:p>
      <w:pPr>
        <w:pStyle w:val="Normal"/>
        <w:spacing w:lineRule="atLeast" w:line="240"/>
        <w:jc w:val="both"/>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r>
    </w:p>
    <w:p>
      <w:pPr>
        <w:pStyle w:val="Normal"/>
        <w:numPr>
          <w:ilvl w:val="0"/>
          <w:numId w:val="11"/>
        </w:numPr>
        <w:jc w:val="both"/>
        <w:rPr>
          <w:rFonts w:ascii="Bookman Old Style" w:hAnsi="Bookman Old Style" w:cs="Bookman Old Style"/>
          <w:i/>
          <w:i/>
          <w:sz w:val="22"/>
          <w:lang w:eastAsia="en-US"/>
        </w:rPr>
      </w:pPr>
      <w:r>
        <w:rPr>
          <w:rFonts w:cs="Bookman Old Style" w:ascii="Bookman Old Style" w:hAnsi="Bookman Old Style"/>
          <w:i/>
          <w:sz w:val="22"/>
        </w:rPr>
        <w:t xml:space="preserve">Worldwide regulatory conference call. </w:t>
      </w:r>
      <w:r>
        <w:rPr>
          <w:rFonts w:cs="Bookman Old Style" w:ascii="Bookman Old Style" w:hAnsi="Bookman Old Style"/>
          <w:sz w:val="22"/>
        </w:rPr>
        <w:t xml:space="preserve">Set up a bi-monthly world wide regulatory conference call that will access regulatory experience and expertise on a global basis. Sent the draft IP-II license agreement </w:t>
      </w:r>
      <w:r>
        <w:rPr>
          <w:rFonts w:cs="Bookman Old Style" w:ascii="Bookman Old Style" w:hAnsi="Bookman Old Style"/>
          <w:sz w:val="22"/>
          <w:lang w:eastAsia="en-US"/>
        </w:rPr>
        <w:t>to Donald Lassere for comparative feedback.</w:t>
      </w:r>
    </w:p>
    <w:p>
      <w:pPr>
        <w:pStyle w:val="Normal"/>
        <w:spacing w:lineRule="atLeast" w:line="240"/>
        <w:jc w:val="both"/>
        <w:rPr>
          <w:rFonts w:ascii="Bookman Old Style" w:hAnsi="Bookman Old Style" w:cs="Bookman Old Style"/>
          <w:i/>
          <w:i/>
          <w:sz w:val="22"/>
          <w:lang w:eastAsia="en-US"/>
        </w:rPr>
      </w:pPr>
      <w:r>
        <w:rPr>
          <w:rFonts w:cs="Bookman Old Style" w:ascii="Bookman Old Style" w:hAnsi="Bookman Old Style"/>
          <w:i/>
          <w:sz w:val="22"/>
          <w:lang w:eastAsia="en-US"/>
        </w:rPr>
      </w:r>
    </w:p>
    <w:p>
      <w:pPr>
        <w:pStyle w:val="Normal"/>
        <w:keepLines/>
        <w:numPr>
          <w:ilvl w:val="0"/>
          <w:numId w:val="4"/>
        </w:numPr>
        <w:tabs>
          <w:tab w:val="clear" w:pos="720"/>
          <w:tab w:val="left" w:pos="827" w:leader="none"/>
        </w:tabs>
        <w:spacing w:lineRule="atLeast" w:line="240"/>
        <w:jc w:val="both"/>
        <w:rPr>
          <w:rFonts w:ascii="Bookman Old Style" w:hAnsi="Bookman Old Style" w:cs="Bookman Old Style"/>
          <w:color w:val="000000"/>
          <w:sz w:val="22"/>
          <w:lang w:eastAsia="en-US"/>
        </w:rPr>
      </w:pPr>
      <w:r>
        <w:rPr>
          <w:rFonts w:cs="Bookman Old Style" w:ascii="Bookman Old Style" w:hAnsi="Bookman Old Style"/>
          <w:i/>
          <w:color w:val="000000"/>
          <w:sz w:val="22"/>
          <w:lang w:eastAsia="en-US"/>
        </w:rPr>
        <w:t xml:space="preserve">EBS Regulatory support in Middle East. </w:t>
      </w:r>
      <w:r>
        <w:rPr>
          <w:rFonts w:cs="Bookman Old Style" w:ascii="Bookman Old Style" w:hAnsi="Bookman Old Style"/>
          <w:color w:val="000000"/>
          <w:sz w:val="22"/>
          <w:lang w:eastAsia="en-US"/>
        </w:rPr>
        <w:t>Started the build-up for regulatory support for EBS in the Middle East.</w:t>
      </w:r>
    </w:p>
    <w:p>
      <w:pPr>
        <w:pStyle w:val="Normal"/>
        <w:keepLines/>
        <w:tabs>
          <w:tab w:val="clear" w:pos="720"/>
          <w:tab w:val="left" w:pos="827" w:leader="none"/>
        </w:tabs>
        <w:spacing w:lineRule="atLeast" w:line="240"/>
        <w:jc w:val="both"/>
        <w:rPr>
          <w:rFonts w:ascii="Bookman Old Style" w:hAnsi="Bookman Old Style" w:cs="Bookman Old Style"/>
          <w:i/>
          <w:i/>
          <w:color w:val="000000"/>
          <w:sz w:val="22"/>
          <w:lang w:eastAsia="en-US"/>
        </w:rPr>
      </w:pPr>
      <w:r>
        <w:rPr>
          <w:rFonts w:cs="Bookman Old Style" w:ascii="Bookman Old Style" w:hAnsi="Bookman Old Style"/>
          <w:i/>
          <w:color w:val="000000"/>
          <w:sz w:val="22"/>
          <w:lang w:eastAsia="en-US"/>
        </w:rPr>
      </w:r>
    </w:p>
    <w:p>
      <w:pPr>
        <w:pStyle w:val="Normal"/>
        <w:numPr>
          <w:ilvl w:val="0"/>
          <w:numId w:val="12"/>
        </w:numPr>
        <w:spacing w:lineRule="atLeast" w:line="240"/>
        <w:jc w:val="both"/>
        <w:rPr>
          <w:rFonts w:ascii="Bookman Old Style" w:hAnsi="Bookman Old Style" w:cs="Bookman Old Style"/>
          <w:color w:val="000000"/>
          <w:sz w:val="22"/>
          <w:lang w:eastAsia="en-US"/>
        </w:rPr>
      </w:pPr>
      <w:r>
        <w:rPr>
          <w:rFonts w:cs="Bookman Old Style" w:ascii="Bookman Old Style" w:hAnsi="Bookman Old Style"/>
          <w:i/>
          <w:sz w:val="22"/>
        </w:rPr>
        <w:t xml:space="preserve">Laying of OFC in Gujarat. </w:t>
      </w:r>
      <w:r>
        <w:rPr>
          <w:rFonts w:cs="Bookman Old Style" w:ascii="Bookman Old Style" w:hAnsi="Bookman Old Style"/>
          <w:sz w:val="22"/>
        </w:rPr>
        <w:t>Met Energy Minister, Information Technology Minister, Industry Minister and Advisor (Science &amp; Technology) to</w:t>
      </w:r>
      <w:r>
        <w:rPr>
          <w:rFonts w:cs="Bookman Old Style" w:ascii="Bookman Old Style" w:hAnsi="Bookman Old Style"/>
          <w:color w:val="000000"/>
          <w:sz w:val="22"/>
        </w:rPr>
        <w:t xml:space="preserve"> the Chief Minister of Gujarat and apprised them of the initiative taken by Karnataka Power Transmission Corporation (KPTCL) of inviting private parties to lay OFC on its T&amp;D network for a payment of Rs.2 lakhs per kilometer. Now that a precedent is in place, we have requested the Gujarat Government to consider our proposal to allow Enron to lay OFC on Gujarat Electricity Board's (GEB)'s T&amp;D network through a non-exclusive MoU route. Since the Data communication traffic on the Mumbai - Ahmedabad route is much less compared to the traffic between Bangalore - Mumbai route, a reasonable fee towards granting RoWs is to be charged by GEB. A</w:t>
      </w:r>
      <w:r>
        <w:rPr>
          <w:rFonts w:cs="Bookman Old Style" w:ascii="Bookman Old Style" w:hAnsi="Bookman Old Style"/>
          <w:color w:val="000000"/>
          <w:sz w:val="22"/>
          <w:lang w:eastAsia="en-US"/>
        </w:rPr>
        <w:t xml:space="preserve">lso, submitted our application to the Information Technology Department of GOG for seeking RoWs along the National and State Highways for laying OFC in Gujarat.  </w:t>
      </w:r>
    </w:p>
    <w:p>
      <w:pPr>
        <w:pStyle w:val="Heading2"/>
        <w:ind w:hanging="0" w:start="0"/>
        <w:jc w:val="both"/>
        <w:rPr>
          <w:rFonts w:ascii="Bookman Old Style" w:hAnsi="Bookman Old Style" w:cs="Bookman Old Style"/>
          <w:b w:val="false"/>
          <w:color w:val="000000"/>
          <w:sz w:val="22"/>
          <w:lang w:eastAsia="en-US"/>
        </w:rPr>
      </w:pPr>
      <w:r>
        <w:rPr>
          <w:rFonts w:cs="Bookman Old Style" w:ascii="Bookman Old Style" w:hAnsi="Bookman Old Style"/>
          <w:b w:val="false"/>
          <w:color w:val="000000"/>
          <w:sz w:val="22"/>
          <w:lang w:eastAsia="en-US"/>
        </w:rPr>
      </w:r>
    </w:p>
    <w:sectPr>
      <w:headerReference w:type="default" r:id="rId3"/>
      <w:headerReference w:type="first" r:id="rId4"/>
      <w:footerReference w:type="default" r:id="rId5"/>
      <w:footerReference w:type="first" r:id="rId6"/>
      <w:type w:val="nextPage"/>
      <w:pgSz w:w="12240" w:h="15840"/>
      <w:pgMar w:left="1440" w:right="1620" w:gutter="0" w:header="720" w:top="1440" w:footer="36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900" w:leader="none"/>
        <w:tab w:val="left" w:pos="3060" w:leader="none"/>
        <w:tab w:val="left" w:pos="5220" w:leader="none"/>
        <w:tab w:val="left" w:pos="7740" w:leader="none"/>
      </w:tabs>
      <w:ind w:end="360"/>
      <w:rPr>
        <w:sz w:val="16"/>
      </w:rPr>
    </w:pPr>
    <w:r>
      <w:rPr>
        <w:b/>
        <w:sz w:val="16"/>
      </w:rPr>
      <w:tab/>
      <w:t>Respect</w:t>
      <w:tab/>
      <w:t>Integrity</w:t>
      <w:tab/>
      <w:t>Communication</w:t>
      <w:tab/>
      <w:t>Excellence</w:t>
      <w:tab/>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85090"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52.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900" w:leader="none"/>
        <w:tab w:val="left" w:pos="3060" w:leader="none"/>
        <w:tab w:val="left" w:pos="5220" w:leader="none"/>
        <w:tab w:val="left" w:pos="792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clear" w:pos="8640"/>
        <w:tab w:val="right" w:pos="9360" w:leader="none"/>
      </w:tabs>
      <w:rPr>
        <w:sz w:val="16"/>
      </w:rPr>
    </w:pPr>
    <w:r>
      <w:rPr>
        <w:sz w:val="16"/>
      </w:rPr>
      <w:t>Form 000-469-E(7/92)</w:t>
      <w:tab/>
      <w:t>rab/word/sig_events/sig_082099.doc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sz w:val="20"/>
      </w:rPr>
      <w:tab/>
      <w:tab/>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104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104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2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color w:val="auto"/>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Bookman Old Style" w:hAnsi="Bookman Old Style" w:cs="Bookman Old Style"/>
      <w:b/>
      <w:color w:val="000000"/>
      <w:sz w:val="24"/>
      <w:lang w:eastAsia="en-US"/>
    </w:rPr>
  </w:style>
  <w:style w:type="paragraph" w:styleId="Heading2">
    <w:name w:val="heading 2"/>
    <w:basedOn w:val="Normal"/>
    <w:next w:val="Normal"/>
    <w:qFormat/>
    <w:pPr>
      <w:keepNext w:val="true"/>
      <w:numPr>
        <w:ilvl w:val="1"/>
        <w:numId w:val="1"/>
      </w:numPr>
      <w:spacing w:lineRule="atLeast" w:line="240"/>
      <w:outlineLvl w:val="1"/>
    </w:pPr>
    <w:rPr>
      <w:rFonts w:ascii="Helv;Arial" w:hAnsi="Helv;Arial" w:cs="Helv;Arial"/>
      <w:b/>
      <w:lang w:eastAsia="en-US"/>
    </w:rPr>
  </w:style>
  <w:style w:type="paragraph" w:styleId="Heading3">
    <w:name w:val="heading 3"/>
    <w:basedOn w:val="Normal"/>
    <w:next w:val="Normal"/>
    <w:qFormat/>
    <w:pPr>
      <w:keepNext w:val="true"/>
      <w:numPr>
        <w:ilvl w:val="2"/>
        <w:numId w:val="1"/>
      </w:numPr>
      <w:spacing w:lineRule="atLeast" w:line="240"/>
      <w:outlineLvl w:val="2"/>
    </w:pPr>
    <w:rPr>
      <w:rFonts w:ascii="Bookman Old Style" w:hAnsi="Bookman Old Style" w:cs="Bookman Old Style"/>
      <w:color w:val="000000"/>
      <w:sz w:val="24"/>
      <w:u w:val="single"/>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color w:val="auto"/>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lang w:eastAsia="en-US"/>
    </w:rPr>
  </w:style>
  <w:style w:type="paragraph" w:styleId="BodyText">
    <w:name w:val="Body Text"/>
    <w:basedOn w:val="Normal"/>
    <w:pPr>
      <w:spacing w:lineRule="atLeast" w:line="240"/>
    </w:pPr>
    <w:rPr>
      <w:rFonts w:ascii="Bookman Old Style" w:hAnsi="Bookman Old Style" w:cs="Bookman Old Style"/>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sz w:val="24"/>
      <w:lang w:eastAsia="en-US"/>
    </w:rPr>
  </w:style>
  <w:style w:type="paragraph" w:styleId="Header">
    <w:name w:val="header"/>
    <w:basedOn w:val="Normal"/>
    <w:pPr>
      <w:tabs>
        <w:tab w:val="clear" w:pos="720"/>
        <w:tab w:val="center" w:pos="4320" w:leader="none"/>
        <w:tab w:val="right" w:pos="8640" w:leader="none"/>
      </w:tabs>
    </w:pPr>
    <w:rPr>
      <w:rFonts w:ascii="Arial" w:hAnsi="Arial" w:cs="Arial"/>
      <w:sz w:val="24"/>
      <w:lang w:eastAsia="en-US"/>
    </w:rPr>
  </w:style>
  <w:style w:type="paragraph" w:styleId="Subject">
    <w:name w:val="Subject"/>
    <w:basedOn w:val="Normal"/>
    <w:qFormat/>
    <w:pPr/>
    <w:rPr>
      <w:rFonts w:ascii="Arial" w:hAnsi="Arial" w:cs="Arial"/>
      <w:lang w:eastAsia="en-US"/>
    </w:rPr>
  </w:style>
  <w:style w:type="paragraph" w:styleId="Date">
    <w:name w:val="Date"/>
    <w:basedOn w:val="Normal"/>
    <w:qFormat/>
    <w:pPr/>
    <w:rPr>
      <w:rFonts w:ascii="Arial" w:hAnsi="Arial" w:cs="Arial"/>
      <w:lang w:eastAsia="en-US"/>
    </w:rPr>
  </w:style>
  <w:style w:type="paragraph" w:styleId="To">
    <w:name w:val="To"/>
    <w:basedOn w:val="Normal"/>
    <w:qFormat/>
    <w:pPr/>
    <w:rPr>
      <w:rFonts w:ascii="Arial" w:hAnsi="Arial" w:cs="Arial"/>
      <w:lang w:eastAsia="en-US"/>
    </w:rPr>
  </w:style>
  <w:style w:type="paragraph" w:styleId="From">
    <w:name w:val="From"/>
    <w:basedOn w:val="Normal"/>
    <w:qFormat/>
    <w:pPr/>
    <w:rPr>
      <w:rFonts w:ascii="Arial" w:hAnsi="Arial" w:cs="Arial"/>
      <w:lang w:eastAsia="en-US"/>
    </w:rPr>
  </w:style>
  <w:style w:type="paragraph" w:styleId="Body">
    <w:name w:val="Body"/>
    <w:basedOn w:val="Normal"/>
    <w:qFormat/>
    <w:pPr>
      <w:ind w:hanging="0" w:start="72" w:end="0"/>
    </w:pPr>
    <w:rPr>
      <w:rFonts w:ascii="Arial" w:hAnsi="Arial" w:cs="Arial"/>
      <w:color w:val="000080"/>
      <w:lang w:eastAsia="en-US"/>
    </w:rPr>
  </w:style>
  <w:style w:type="paragraph" w:styleId="Department">
    <w:name w:val="Department"/>
    <w:basedOn w:val="Normal"/>
    <w:qFormat/>
    <w:pPr/>
    <w:rPr>
      <w:rFonts w:ascii="Arial" w:hAnsi="Arial" w:cs="Arial"/>
      <w:lang w:eastAsia="en-US"/>
    </w:rPr>
  </w:style>
  <w:style w:type="paragraph" w:styleId="BodyTextIndent">
    <w:name w:val="Body Text Indent"/>
    <w:basedOn w:val="Normal"/>
    <w:pPr>
      <w:spacing w:lineRule="atLeast" w:line="240"/>
      <w:ind w:hanging="0" w:start="360" w:end="0"/>
    </w:pPr>
    <w:rPr>
      <w:rFonts w:ascii="Bookman Old Style" w:hAnsi="Bookman Old Style" w:cs="Bookman Old Style"/>
      <w:color w:val="000000"/>
      <w:sz w:val="24"/>
      <w:lang w:eastAsia="en-US"/>
    </w:rPr>
  </w:style>
  <w:style w:type="paragraph" w:styleId="BodyText2">
    <w:name w:val="Body Text 2"/>
    <w:basedOn w:val="Normal"/>
    <w:qFormat/>
    <w:pPr>
      <w:spacing w:lineRule="atLeast" w:line="240"/>
    </w:pPr>
    <w:rPr>
      <w:rFonts w:ascii="Bookman Old Style" w:hAnsi="Bookman Old Style" w:cs="Bookman Old Style"/>
      <w:color w:val="FF0000"/>
      <w:sz w:val="24"/>
      <w:lang w:eastAsia="en-US"/>
    </w:rPr>
  </w:style>
  <w:style w:type="paragraph" w:styleId="BodyText3">
    <w:name w:val="Body Text 3"/>
    <w:basedOn w:val="Normal"/>
    <w:qFormat/>
    <w:pPr>
      <w:keepLines/>
      <w:tabs>
        <w:tab w:val="clear" w:pos="720"/>
        <w:tab w:val="left" w:pos="2227" w:leader="none"/>
      </w:tabs>
      <w:spacing w:lineRule="atLeast" w:line="240"/>
      <w:jc w:val="both"/>
    </w:pPr>
    <w:rPr>
      <w:rFonts w:ascii="Bookman Old Style" w:hAnsi="Bookman Old Style" w:cs="Bookman Old Style"/>
      <w:color w:val="FF0000"/>
      <w:sz w:val="24"/>
      <w:lang w:eastAsia="en-US"/>
    </w:rPr>
  </w:style>
  <w:style w:type="paragraph" w:styleId="BodyTextIndent2">
    <w:name w:val="Body Text Indent 2"/>
    <w:basedOn w:val="Normal"/>
    <w:qFormat/>
    <w:pPr>
      <w:spacing w:lineRule="atLeast" w:line="240"/>
      <w:ind w:hanging="0" w:start="720" w:end="0"/>
    </w:pPr>
    <w:rPr>
      <w:rFonts w:ascii="Bookman Old Style" w:hAnsi="Bookman Old Style" w:cs="Bookman Old Style"/>
      <w:color w:val="000000"/>
      <w:sz w:val="2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2000-11-13T10:02:00Z</dcterms:created>
  <dc:creator>EIPL-MUM-NG13</dc:creator>
  <dc:description/>
  <dc:language>en-CA</dc:language>
  <cp:lastModifiedBy>Enron Technology</cp:lastModifiedBy>
  <dcterms:modified xsi:type="dcterms:W3CDTF">2000-11-14T18:38:00Z</dcterms:modified>
  <cp:revision>23</cp:revision>
  <dc:subject/>
  <dc:title> </dc:title>
</cp:coreProperties>
</file>