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rFonts w:ascii="Times New Roman" w:hAnsi="Times New Roman" w:cs="Times New Roman"/>
          <w:sz w:val="22"/>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Heading"/>
        <w:rPr/>
      </w:pPr>
      <w:r>
        <w:rPr/>
        <w:tab/>
      </w:r>
    </w:p>
    <w:tbl>
      <w:tblPr>
        <w:tblW w:w="10440" w:type="dxa"/>
        <w:jc w:val="start"/>
        <w:tblInd w:w="-522" w:type="dxa"/>
        <w:tblLayout w:type="fixed"/>
        <w:tblCellMar>
          <w:top w:w="0" w:type="dxa"/>
          <w:start w:w="108" w:type="dxa"/>
          <w:bottom w:w="0" w:type="dxa"/>
          <w:end w:w="108" w:type="dxa"/>
        </w:tblCellMar>
      </w:tblPr>
      <w:tblGrid>
        <w:gridCol w:w="1260"/>
        <w:gridCol w:w="5130"/>
        <w:gridCol w:w="1710"/>
        <w:gridCol w:w="2340"/>
      </w:tblGrid>
      <w:tr>
        <w:trPr>
          <w:trHeight w:val="300" w:hRule="exact"/>
        </w:trPr>
        <w:tc>
          <w:tcPr>
            <w:tcW w:w="1260" w:type="dxa"/>
            <w:tcBorders/>
          </w:tcPr>
          <w:p>
            <w:pPr>
              <w:pStyle w:val="Normal"/>
              <w:spacing w:before="20" w:after="0"/>
              <w:ind w:firstLine="90" w:start="-18" w:end="0"/>
              <w:jc w:val="both"/>
              <w:rPr>
                <w:rFonts w:ascii="Bookman Old Style" w:hAnsi="Bookman Old Style" w:cs="Bookman Old Style"/>
                <w:sz w:val="22"/>
              </w:rPr>
            </w:pPr>
            <w:r>
              <w:rPr>
                <w:rFonts w:cs="Bookman Old Style" w:ascii="Bookman Old Style" w:hAnsi="Bookman Old Style"/>
                <w:sz w:val="22"/>
              </w:rPr>
              <w:t>To:</w:t>
            </w:r>
          </w:p>
        </w:tc>
        <w:tc>
          <w:tcPr>
            <w:tcW w:w="5130" w:type="dxa"/>
            <w:tcBorders/>
          </w:tcPr>
          <w:p>
            <w:pPr>
              <w:pStyle w:val="To"/>
              <w:jc w:val="both"/>
              <w:rPr>
                <w:rFonts w:ascii="Bookman Old Style" w:hAnsi="Bookman Old Style" w:cs="Bookman Old Style"/>
                <w:sz w:val="22"/>
              </w:rPr>
            </w:pPr>
            <w:bookmarkStart w:id="0" w:name="to"/>
            <w:bookmarkEnd w:id="0"/>
            <w:r>
              <w:rPr>
                <w:rFonts w:cs="Bookman Old Style" w:ascii="Bookman Old Style" w:hAnsi="Bookman Old Style"/>
                <w:sz w:val="22"/>
              </w:rPr>
              <w:t>Wade Cline</w:t>
            </w:r>
          </w:p>
        </w:tc>
        <w:tc>
          <w:tcPr>
            <w:tcW w:w="1710"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34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216" w:hRule="exact"/>
        </w:trPr>
        <w:tc>
          <w:tcPr>
            <w:tcW w:w="1260" w:type="dxa"/>
            <w:tcBorders/>
          </w:tcPr>
          <w:p>
            <w:pPr>
              <w:pStyle w:val="Normal"/>
              <w:snapToGrid w:val="false"/>
              <w:spacing w:before="20" w:after="0"/>
              <w:ind w:start="-187" w:end="0"/>
              <w:jc w:val="both"/>
              <w:rPr>
                <w:rFonts w:ascii="Bookman Old Style" w:hAnsi="Bookman Old Style" w:cs="Bookman Old Style"/>
                <w:sz w:val="22"/>
              </w:rPr>
            </w:pPr>
            <w:r>
              <w:rPr>
                <w:rFonts w:cs="Bookman Old Style" w:ascii="Bookman Old Style" w:hAnsi="Bookman Old Style"/>
                <w:sz w:val="22"/>
              </w:rPr>
            </w:r>
          </w:p>
        </w:tc>
        <w:tc>
          <w:tcPr>
            <w:tcW w:w="513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10"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34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300" w:hRule="exact"/>
        </w:trPr>
        <w:tc>
          <w:tcPr>
            <w:tcW w:w="1260" w:type="dxa"/>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From:</w:t>
            </w:r>
          </w:p>
        </w:tc>
        <w:tc>
          <w:tcPr>
            <w:tcW w:w="5130" w:type="dxa"/>
            <w:tcBorders/>
          </w:tcPr>
          <w:p>
            <w:pPr>
              <w:pStyle w:val="From"/>
              <w:jc w:val="both"/>
              <w:rPr>
                <w:rFonts w:ascii="Bookman Old Style" w:hAnsi="Bookman Old Style" w:cs="Bookman Old Style"/>
                <w:sz w:val="22"/>
              </w:rPr>
            </w:pPr>
            <w:r>
              <w:rPr>
                <w:rFonts w:cs="Bookman Old Style" w:ascii="Bookman Old Style" w:hAnsi="Bookman Old Style"/>
                <w:sz w:val="22"/>
              </w:rPr>
              <w:t>Jane Wilson</w:t>
            </w:r>
          </w:p>
        </w:tc>
        <w:tc>
          <w:tcPr>
            <w:tcW w:w="1710" w:type="dxa"/>
            <w:tcBorders/>
          </w:tcPr>
          <w:p>
            <w:pPr>
              <w:pStyle w:val="Normal"/>
              <w:spacing w:before="20" w:after="0"/>
              <w:ind w:firstLine="184" w:start="-202" w:end="0"/>
              <w:jc w:val="both"/>
              <w:rPr>
                <w:rFonts w:ascii="Bookman Old Style" w:hAnsi="Bookman Old Style" w:cs="Bookman Old Style"/>
                <w:sz w:val="22"/>
              </w:rPr>
            </w:pPr>
            <w:r>
              <w:rPr>
                <w:rFonts w:cs="Bookman Old Style" w:ascii="Bookman Old Style" w:hAnsi="Bookman Old Style"/>
                <w:sz w:val="22"/>
              </w:rPr>
              <w:t>Department:</w:t>
            </w:r>
          </w:p>
        </w:tc>
        <w:tc>
          <w:tcPr>
            <w:tcW w:w="2340" w:type="dxa"/>
            <w:tcBorders/>
          </w:tcPr>
          <w:p>
            <w:pPr>
              <w:pStyle w:val="Department"/>
              <w:jc w:val="both"/>
              <w:rPr>
                <w:rFonts w:ascii="Bookman Old Style" w:hAnsi="Bookman Old Style" w:cs="Bookman Old Style"/>
                <w:sz w:val="22"/>
              </w:rPr>
            </w:pPr>
            <w:bookmarkStart w:id="1" w:name="From"/>
            <w:bookmarkEnd w:id="1"/>
            <w:r>
              <w:rPr>
                <w:rFonts w:cs="Bookman Old Style" w:ascii="Bookman Old Style" w:hAnsi="Bookman Old Style"/>
                <w:sz w:val="22"/>
              </w:rPr>
              <w:t>Regulatory Affairs</w:t>
            </w:r>
          </w:p>
        </w:tc>
      </w:tr>
      <w:tr>
        <w:trPr>
          <w:trHeight w:val="216" w:hRule="exact"/>
        </w:trPr>
        <w:tc>
          <w:tcPr>
            <w:tcW w:w="1260" w:type="dxa"/>
            <w:tcBorders/>
          </w:tcPr>
          <w:p>
            <w:pPr>
              <w:pStyle w:val="Normal"/>
              <w:snapToGrid w:val="false"/>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r>
          </w:p>
        </w:tc>
        <w:tc>
          <w:tcPr>
            <w:tcW w:w="513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c>
          <w:tcPr>
            <w:tcW w:w="1710" w:type="dxa"/>
            <w:tcBorders/>
          </w:tcPr>
          <w:p>
            <w:pPr>
              <w:pStyle w:val="Normal"/>
              <w:snapToGrid w:val="false"/>
              <w:spacing w:before="20" w:after="0"/>
              <w:ind w:firstLine="29" w:start="-202" w:end="0"/>
              <w:jc w:val="both"/>
              <w:rPr>
                <w:rFonts w:ascii="Bookman Old Style" w:hAnsi="Bookman Old Style" w:cs="Bookman Old Style"/>
                <w:sz w:val="22"/>
              </w:rPr>
            </w:pPr>
            <w:r>
              <w:rPr>
                <w:rFonts w:cs="Bookman Old Style" w:ascii="Bookman Old Style" w:hAnsi="Bookman Old Style"/>
                <w:sz w:val="22"/>
              </w:rPr>
            </w:r>
          </w:p>
        </w:tc>
        <w:tc>
          <w:tcPr>
            <w:tcW w:w="2340" w:type="dxa"/>
            <w:tcBorders/>
          </w:tcPr>
          <w:p>
            <w:pPr>
              <w:pStyle w:val="Normal"/>
              <w:snapToGrid w:val="false"/>
              <w:jc w:val="both"/>
              <w:rPr>
                <w:rFonts w:ascii="Bookman Old Style" w:hAnsi="Bookman Old Style" w:cs="Bookman Old Style"/>
                <w:sz w:val="22"/>
              </w:rPr>
            </w:pPr>
            <w:r>
              <w:rPr>
                <w:rFonts w:cs="Bookman Old Style" w:ascii="Bookman Old Style" w:hAnsi="Bookman Old Style"/>
                <w:sz w:val="22"/>
              </w:rPr>
            </w:r>
          </w:p>
        </w:tc>
      </w:tr>
      <w:tr>
        <w:trPr>
          <w:trHeight w:val="576" w:hRule="exact"/>
        </w:trPr>
        <w:tc>
          <w:tcPr>
            <w:tcW w:w="1260" w:type="dxa"/>
            <w:tcBorders>
              <w:bottom w:val="single" w:sz="18" w:space="0" w:color="000000"/>
            </w:tcBorders>
          </w:tcPr>
          <w:p>
            <w:pPr>
              <w:pStyle w:val="Normal"/>
              <w:spacing w:before="20" w:after="0"/>
              <w:ind w:firstLine="259" w:start="-187" w:end="0"/>
              <w:jc w:val="both"/>
              <w:rPr>
                <w:rFonts w:ascii="Bookman Old Style" w:hAnsi="Bookman Old Style" w:cs="Bookman Old Style"/>
                <w:sz w:val="22"/>
              </w:rPr>
            </w:pPr>
            <w:r>
              <w:rPr>
                <w:rFonts w:cs="Bookman Old Style" w:ascii="Bookman Old Style" w:hAnsi="Bookman Old Style"/>
                <w:sz w:val="22"/>
              </w:rPr>
              <w:t>Subject:</w:t>
            </w:r>
          </w:p>
        </w:tc>
        <w:tc>
          <w:tcPr>
            <w:tcW w:w="5130" w:type="dxa"/>
            <w:tcBorders>
              <w:bottom w:val="single" w:sz="18" w:space="0" w:color="000000"/>
            </w:tcBorders>
          </w:tcPr>
          <w:p>
            <w:pPr>
              <w:pStyle w:val="Subject"/>
              <w:jc w:val="both"/>
              <w:rPr>
                <w:rFonts w:ascii="Bookman Old Style" w:hAnsi="Bookman Old Style" w:cs="Bookman Old Style"/>
                <w:sz w:val="22"/>
              </w:rPr>
            </w:pPr>
            <w:bookmarkStart w:id="2" w:name="Subject"/>
            <w:bookmarkEnd w:id="2"/>
            <w:r>
              <w:rPr>
                <w:rFonts w:cs="Bookman Old Style" w:ascii="Bookman Old Style" w:hAnsi="Bookman Old Style"/>
                <w:sz w:val="22"/>
              </w:rPr>
              <w:t>Significant Events for February first fortnight</w:t>
            </w:r>
          </w:p>
        </w:tc>
        <w:tc>
          <w:tcPr>
            <w:tcW w:w="1710" w:type="dxa"/>
            <w:tcBorders>
              <w:bottom w:val="single" w:sz="18" w:space="0" w:color="000000"/>
            </w:tcBorders>
          </w:tcPr>
          <w:p>
            <w:pPr>
              <w:pStyle w:val="Normal"/>
              <w:spacing w:before="20" w:after="0"/>
              <w:ind w:firstLine="202" w:start="-202" w:end="0"/>
              <w:jc w:val="both"/>
              <w:rPr>
                <w:rFonts w:ascii="Bookman Old Style" w:hAnsi="Bookman Old Style" w:cs="Bookman Old Style"/>
                <w:sz w:val="22"/>
              </w:rPr>
            </w:pPr>
            <w:r>
              <w:rPr>
                <w:rFonts w:cs="Bookman Old Style" w:ascii="Bookman Old Style" w:hAnsi="Bookman Old Style"/>
                <w:sz w:val="22"/>
              </w:rPr>
              <w:t>Date:</w:t>
            </w:r>
          </w:p>
        </w:tc>
        <w:tc>
          <w:tcPr>
            <w:tcW w:w="2340" w:type="dxa"/>
            <w:tcBorders>
              <w:bottom w:val="single" w:sz="18" w:space="0" w:color="000000"/>
            </w:tcBorders>
          </w:tcPr>
          <w:p>
            <w:pPr>
              <w:pStyle w:val="Date"/>
              <w:jc w:val="both"/>
              <w:rPr>
                <w:rFonts w:ascii="Bookman Old Style" w:hAnsi="Bookman Old Style" w:cs="Bookman Old Style"/>
                <w:sz w:val="22"/>
              </w:rPr>
            </w:pPr>
            <w:r>
              <w:rPr>
                <w:rFonts w:cs="Bookman Old Style" w:ascii="Bookman Old Style" w:hAnsi="Bookman Old Style"/>
                <w:sz w:val="22"/>
              </w:rPr>
              <w:t>February 21, 2001</w:t>
            </w:r>
          </w:p>
        </w:tc>
      </w:tr>
    </w:tbl>
    <w:p>
      <w:pPr>
        <w:pStyle w:val="Body"/>
        <w:ind w:start="0" w:end="0"/>
        <w:jc w:val="both"/>
        <w:rPr>
          <w:rFonts w:ascii="Times New Roman" w:hAnsi="Times New Roman" w:cs="Times New Roman"/>
          <w:color w:val="000000"/>
          <w:sz w:val="22"/>
        </w:rPr>
      </w:pPr>
      <w:r>
        <w:rPr>
          <w:rFonts w:cs="Times New Roman" w:ascii="Times New Roman" w:hAnsi="Times New Roman"/>
          <w:color w:val="000000"/>
          <w:sz w:val="22"/>
        </w:rPr>
      </w:r>
      <w:bookmarkStart w:id="3" w:name="StartOfMemo"/>
      <w:bookmarkStart w:id="4" w:name="StartOfMemo"/>
      <w:bookmarkEnd w:id="4"/>
    </w:p>
    <w:p>
      <w:pPr>
        <w:pStyle w:val="Heading1"/>
        <w:ind w:hanging="0" w:start="0"/>
        <w:jc w:val="both"/>
        <w:rPr>
          <w:b w:val="false"/>
          <w:sz w:val="22"/>
        </w:rPr>
      </w:pPr>
      <w:r>
        <w:rPr>
          <w:b w:val="false"/>
          <w:sz w:val="22"/>
        </w:rPr>
        <w:t>Below are the activities of the Government and Regulatory Affairs group for the first fortnight of February 2001.</w:t>
      </w:r>
    </w:p>
    <w:p>
      <w:pPr>
        <w:pStyle w:val="Heading1"/>
        <w:ind w:hanging="0" w:start="0"/>
        <w:jc w:val="both"/>
        <w:rPr>
          <w:b w:val="false"/>
          <w:sz w:val="22"/>
        </w:rPr>
      </w:pPr>
      <w:r>
        <w:rPr>
          <w:b w:val="false"/>
          <w:sz w:val="22"/>
        </w:rPr>
      </w:r>
    </w:p>
    <w:p>
      <w:pPr>
        <w:pStyle w:val="Heading1"/>
        <w:ind w:hanging="0" w:start="0"/>
        <w:jc w:val="both"/>
        <w:rPr>
          <w:sz w:val="22"/>
        </w:rPr>
      </w:pPr>
      <w:r>
        <w:rPr>
          <w:sz w:val="22"/>
        </w:rPr>
        <w:t>Gas</w:t>
      </w:r>
    </w:p>
    <w:p>
      <w:pPr>
        <w:pStyle w:val="Normal"/>
        <w:jc w:val="both"/>
        <w:rPr>
          <w:sz w:val="22"/>
        </w:rPr>
      </w:pPr>
      <w:r>
        <w:rPr>
          <w:sz w:val="22"/>
        </w:rPr>
      </w:r>
    </w:p>
    <w:p>
      <w:pPr>
        <w:pStyle w:val="Normal"/>
        <w:numPr>
          <w:ilvl w:val="0"/>
          <w:numId w:val="8"/>
        </w:numPr>
        <w:jc w:val="both"/>
        <w:rPr>
          <w:rFonts w:ascii="Bookman Old Style" w:hAnsi="Bookman Old Style" w:cs="Bookman Old Style"/>
          <w:i/>
          <w:i/>
          <w:sz w:val="22"/>
        </w:rPr>
      </w:pPr>
      <w:r>
        <w:rPr>
          <w:rFonts w:cs="Bookman Old Style" w:ascii="Bookman Old Style" w:hAnsi="Bookman Old Style"/>
          <w:i/>
          <w:sz w:val="22"/>
        </w:rPr>
        <w:t xml:space="preserve">Open Access White Paper. </w:t>
      </w:r>
      <w:r>
        <w:rPr>
          <w:rFonts w:cs="Bookman Old Style" w:ascii="Bookman Old Style" w:hAnsi="Bookman Old Style"/>
          <w:color w:val="000000"/>
          <w:sz w:val="22"/>
          <w:lang w:eastAsia="en-US"/>
        </w:rPr>
        <w:t xml:space="preserve">Forwarded an extensive white paper on gas open access to Rani Jadhav, Managing Director </w:t>
      </w:r>
      <w:r>
        <w:rPr>
          <w:rFonts w:cs="Bookman Old Style" w:ascii="Bookman Old Style" w:hAnsi="Bookman Old Style"/>
          <w:sz w:val="22"/>
        </w:rPr>
        <w:t>of Maharashtra Petrochemicals Corp. Ltd.</w:t>
      </w:r>
      <w:r>
        <w:rPr>
          <w:rFonts w:cs="Bookman Old Style" w:ascii="Bookman Old Style" w:hAnsi="Bookman Old Style"/>
          <w:color w:val="000000"/>
          <w:sz w:val="22"/>
          <w:lang w:eastAsia="en-US"/>
        </w:rPr>
        <w:t xml:space="preserve"> Enclosed were numerous examples of gas sector restructuring laws and regulations, making the entire package about one foot high!  The white paper also discussed open access of an LNG terminal.  </w:t>
      </w:r>
      <w:r>
        <w:rPr>
          <w:rFonts w:cs="Bookman Old Style" w:ascii="Bookman Old Style" w:hAnsi="Bookman Old Style"/>
          <w:i/>
          <w:sz w:val="22"/>
        </w:rPr>
        <w:t xml:space="preserve"> </w:t>
      </w:r>
    </w:p>
    <w:p>
      <w:pPr>
        <w:pStyle w:val="Normal"/>
        <w:jc w:val="both"/>
        <w:rPr>
          <w:rFonts w:ascii="Bookman Old Style" w:hAnsi="Bookman Old Style" w:cs="Bookman Old Style"/>
          <w:i/>
          <w:i/>
          <w:sz w:val="22"/>
        </w:rPr>
      </w:pPr>
      <w:r>
        <w:rPr>
          <w:rFonts w:cs="Bookman Old Style" w:ascii="Bookman Old Style" w:hAnsi="Bookman Old Style"/>
          <w:i/>
          <w:sz w:val="22"/>
        </w:rPr>
      </w:r>
    </w:p>
    <w:p>
      <w:pPr>
        <w:pStyle w:val="BodyText"/>
        <w:numPr>
          <w:ilvl w:val="0"/>
          <w:numId w:val="7"/>
        </w:numPr>
        <w:spacing w:lineRule="auto" w:line="240"/>
        <w:rPr/>
      </w:pPr>
      <w:r>
        <w:rPr>
          <w:i/>
          <w:lang w:eastAsia="en-CA"/>
        </w:rPr>
        <w:t xml:space="preserve">ROU Clearance for Metgas. </w:t>
      </w:r>
      <w:r>
        <w:rPr/>
        <w:t>Consensus reached with GAIL on Draft Confidentiality Agreement which has to be signed in the presence of Petroleum Minister for signing ceremony. Met with Mr ISN Prasad to expedite the dates of Petroleum Minister. The file was put up to the Minister who was busy with road shows abroad. Minister is back and is expected to give time soon. Mr Wade Cline has agreed to sign on behalf of Metgas. The new Chairman of GAIL, Mr J K Jain is expected to sign the agreement from GAIL side. Mr Mehta is likely to speak to or meet the Petroleum Minister shortly.</w:t>
      </w:r>
    </w:p>
    <w:p>
      <w:pPr>
        <w:pStyle w:val="Normal"/>
        <w:jc w:val="both"/>
        <w:rPr/>
      </w:pPr>
      <w:r>
        <w:rPr/>
      </w:r>
    </w:p>
    <w:p>
      <w:pPr>
        <w:pStyle w:val="Normal"/>
        <w:numPr>
          <w:ilvl w:val="0"/>
          <w:numId w:val="16"/>
        </w:numPr>
        <w:spacing w:lineRule="atLeast" w:line="240"/>
        <w:jc w:val="both"/>
        <w:rPr>
          <w:rFonts w:ascii="Bookman Old Style" w:hAnsi="Bookman Old Style" w:cs="Bookman Old Style"/>
          <w:sz w:val="22"/>
        </w:rPr>
      </w:pPr>
      <w:r>
        <w:rPr>
          <w:rFonts w:cs="Bookman Old Style" w:ascii="Bookman Old Style" w:hAnsi="Bookman Old Style"/>
          <w:i/>
          <w:sz w:val="22"/>
        </w:rPr>
        <w:t xml:space="preserve">LNG Policy. </w:t>
      </w:r>
      <w:r>
        <w:rPr>
          <w:rFonts w:cs="Bookman Old Style" w:ascii="Bookman Old Style" w:hAnsi="Bookman Old Style"/>
          <w:sz w:val="22"/>
        </w:rPr>
        <w:t>Committee of Secretaries has decided to take up the matter with Union Cabinet. The draft Cabinet Note is still under preparation.</w:t>
      </w:r>
    </w:p>
    <w:p>
      <w:pPr>
        <w:pStyle w:val="Normal"/>
        <w:jc w:val="both"/>
        <w:rPr>
          <w:rFonts w:ascii="Bookman Old Style" w:hAnsi="Bookman Old Style" w:cs="Bookman Old Style"/>
          <w:sz w:val="22"/>
        </w:rPr>
      </w:pPr>
      <w:r>
        <w:rPr>
          <w:rFonts w:cs="Bookman Old Style" w:ascii="Bookman Old Style" w:hAnsi="Bookman Old Style"/>
          <w:sz w:val="22"/>
        </w:rPr>
      </w:r>
    </w:p>
    <w:p>
      <w:pPr>
        <w:pStyle w:val="Heading1"/>
        <w:ind w:hanging="0" w:start="0"/>
        <w:jc w:val="both"/>
        <w:rPr>
          <w:sz w:val="22"/>
        </w:rPr>
      </w:pPr>
      <w:r>
        <w:rPr>
          <w:sz w:val="22"/>
        </w:rPr>
        <w:t>Electricity</w:t>
      </w:r>
    </w:p>
    <w:p>
      <w:pPr>
        <w:pStyle w:val="Normal"/>
        <w:spacing w:lineRule="atLeast" w:line="240"/>
        <w:jc w:val="both"/>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numPr>
          <w:ilvl w:val="0"/>
          <w:numId w:val="20"/>
        </w:numPr>
        <w:spacing w:lineRule="atLeast" w:line="240"/>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t xml:space="preserve">MSEB Paranjpe Proceeding </w:t>
      </w:r>
    </w:p>
    <w:p>
      <w:pPr>
        <w:pStyle w:val="Normal"/>
        <w:spacing w:lineRule="atLeast" w:line="240"/>
        <w:ind w:start="360" w:end="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t>Drafted a Request to Paranjpe and Kaul (now consolidated petitioners) for Documents and Data, requesting databases and worksheets, along with an explanatory note as to methodology.</w:t>
      </w:r>
    </w:p>
    <w:p>
      <w:pPr>
        <w:pStyle w:val="Normal"/>
        <w:spacing w:lineRule="atLeast" w:line="24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spacing w:lineRule="atLeast" w:line="240"/>
        <w:ind w:start="360" w:end="0"/>
        <w:rPr/>
      </w:pPr>
      <w:r>
        <w:rPr>
          <w:rFonts w:cs="Bookman Old Style" w:ascii="Bookman Old Style" w:hAnsi="Bookman Old Style"/>
          <w:i/>
          <w:color w:val="000000"/>
          <w:sz w:val="22"/>
          <w:lang w:eastAsia="en-US"/>
        </w:rPr>
        <w:t>February 1 Hearing.</w:t>
      </w:r>
      <w:r>
        <w:rPr>
          <w:rFonts w:cs="Bookman Old Style" w:ascii="Bookman Old Style" w:hAnsi="Bookman Old Style"/>
          <w:color w:val="000000"/>
          <w:sz w:val="22"/>
          <w:lang w:eastAsia="en-US"/>
        </w:rPr>
        <w:t xml:space="preserve">  Recommended a number of procedural points to MSEB with regard to the February 1, 2001 hearing on Paranjpe.  MSEB followed through with the procedural recommendations, resulting in an Interim Order that was favorable.  The recommendations included (i) a reiteration of a submitted Request to Paranjpe and Kaul (now consolidated petitioners) for Documents and Data; (ii) request for a procedural outline and timeline for conduct of the proceeding; (iii) request for clarification of Kaul's Role; and (iv) request that the data to be utilized in the proceeding be limited to a timeframe after the date of the rate case order.  The Interim Order (i) named Prayas, a consumer representative pursuant to Sec. 26 of the ERC Act, 1998 (Prayas made a presentation on load shedding at the hearing) and contended there is merit in Paranjpe's arguments; (ii) stated that Kaul is an individual petitioner; (iii) Petitioners were required to respond to the Request for Documents and Data by Feb. 16, giving a full analysis of the statistical data, only pertaining to May-November 2000, along with an explanatory note; (iv) reply by MSEB to be filed by March 9; (v) Final rejoinder by petitioners by March 30; and (vi) hearing on April 9.</w:t>
      </w:r>
    </w:p>
    <w:p>
      <w:pPr>
        <w:pStyle w:val="Normal"/>
        <w:spacing w:lineRule="atLeast" w:line="24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spacing w:lineRule="atLeast" w:line="240"/>
        <w:ind w:start="360" w:end="0"/>
        <w:rPr/>
      </w:pPr>
      <w:r>
        <w:rPr>
          <w:rFonts w:cs="Bookman Old Style" w:ascii="Bookman Old Style" w:hAnsi="Bookman Old Style"/>
          <w:i/>
          <w:color w:val="000000"/>
          <w:sz w:val="22"/>
          <w:lang w:eastAsia="en-US"/>
        </w:rPr>
        <w:t>Data Due From Paranjpe:</w:t>
      </w:r>
      <w:r>
        <w:rPr>
          <w:rFonts w:cs="Bookman Old Style" w:ascii="Bookman Old Style" w:hAnsi="Bookman Old Style"/>
          <w:color w:val="000000"/>
          <w:sz w:val="22"/>
          <w:lang w:eastAsia="en-US"/>
        </w:rPr>
        <w:t xml:space="preserve">  According to the Commission order, Petitioners were to respond to the Request from MSEB for documents and data on February 16.  Nothing has been received as of this date.</w:t>
      </w:r>
    </w:p>
    <w:p>
      <w:pPr>
        <w:pStyle w:val="Normal"/>
        <w:spacing w:lineRule="atLeast" w:line="240"/>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spacing w:lineRule="atLeast" w:line="240"/>
        <w:ind w:start="360" w:end="0"/>
        <w:rPr/>
      </w:pPr>
      <w:r>
        <w:rPr>
          <w:rFonts w:cs="Bookman Old Style" w:ascii="Bookman Old Style" w:hAnsi="Bookman Old Style"/>
          <w:i/>
          <w:color w:val="000000"/>
          <w:sz w:val="22"/>
          <w:lang w:eastAsia="en-US"/>
        </w:rPr>
        <w:t>Request for Clarification.</w:t>
      </w:r>
      <w:r>
        <w:rPr>
          <w:rFonts w:cs="Bookman Old Style" w:ascii="Bookman Old Style" w:hAnsi="Bookman Old Style"/>
          <w:color w:val="000000"/>
          <w:sz w:val="22"/>
          <w:lang w:eastAsia="en-US"/>
        </w:rPr>
        <w:t xml:space="preserve">  Met with Chairman with regard to filing a Request for Clarification of the Interim Order, containing requests for clarification as to: (i) no necessity for MSEB to respond to the data-based allegations, initial Petitions and Rejoinder filed by Petitioner(s) because the data preceded the May-November 2000 framework; (ii) elimination of allegations in the First Supplemental Petition based on April 2000, data outside of the period at issue; (iii) clarification of the role of Prayas, including the request for a definition of such, request as to scope of Prayas' role, request as to whether Prayas must file a petition, requesting final clarification of Prayas' position and concomitant adjustment of procedural timetable; (iv) request for the six annexures for Paranjpe's Second Supplemental Petition; (v) request that the supplemental petitions referenced and promised by the petitioners be limited; (vi) clarification as to method of notice of a public hearing; (vii) request to clarify that if the response to the Request for Documents and Data is submitted to MERC for forwarding, that the reply date be adjusted accordingly.  Request has been conveyed to MSEB for filing.  MSEB promptly filed the request but nothing has been heard from the Commission.</w:t>
      </w:r>
    </w:p>
    <w:p>
      <w:pPr>
        <w:pStyle w:val="Normal"/>
        <w:spacing w:lineRule="atLeast" w:line="240"/>
        <w:ind w:start="360" w:end="0"/>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BodyText"/>
        <w:ind w:start="360" w:end="0"/>
        <w:rPr/>
      </w:pPr>
      <w:r>
        <w:rPr/>
        <w:t xml:space="preserve">Researched the jurisdiction of the MERC over criminal allegations.  In fact, MERC has jurisdiction according to both the ERC Act and its own regulations over the intentional giving of false evidence or the fabrication of false evidence.  Petitioners allege that certain MSEB employees intentionally gave false evidence in their affidavits.  </w:t>
      </w:r>
    </w:p>
    <w:p>
      <w:pPr>
        <w:pStyle w:val="BodyText"/>
        <w:rPr/>
      </w:pPr>
      <w:r>
        <w:rPr/>
      </w:r>
    </w:p>
    <w:p>
      <w:pPr>
        <w:pStyle w:val="Heading3"/>
        <w:numPr>
          <w:ilvl w:val="0"/>
          <w:numId w:val="6"/>
        </w:numPr>
        <w:rPr>
          <w:rFonts w:ascii="Bookman Old Style" w:hAnsi="Bookman Old Style" w:cs="Bookman Old Style"/>
          <w:i w:val="false"/>
          <w:i w:val="false"/>
          <w:sz w:val="22"/>
        </w:rPr>
      </w:pPr>
      <w:r>
        <w:rPr>
          <w:rFonts w:cs="Bookman Old Style" w:ascii="Bookman Old Style" w:hAnsi="Bookman Old Style"/>
          <w:sz w:val="22"/>
        </w:rPr>
        <w:t xml:space="preserve">Rate Case. </w:t>
      </w:r>
      <w:r>
        <w:rPr>
          <w:rFonts w:cs="Bookman Old Style" w:ascii="Bookman Old Style" w:hAnsi="Bookman Old Style"/>
          <w:i w:val="false"/>
          <w:sz w:val="22"/>
        </w:rPr>
        <w:t>Arranged with the Chairman to present Enron's cost of service analysis, expanded to included 1999-2000 and 2000-2001, to the Chairman and his Board.  Argued this should be used in the rate case to demonstrate what is necessary for the SEB to rationalize the tariff.</w:t>
      </w:r>
    </w:p>
    <w:p>
      <w:pPr>
        <w:pStyle w:val="Normal"/>
        <w:rPr>
          <w:rFonts w:ascii="Bookman Old Style" w:hAnsi="Bookman Old Style" w:cs="Bookman Old Style"/>
          <w:i/>
          <w:i/>
          <w:color w:val="000000"/>
          <w:sz w:val="22"/>
          <w:lang w:eastAsia="en-US"/>
        </w:rPr>
      </w:pPr>
      <w:r>
        <w:rPr>
          <w:rFonts w:cs="Bookman Old Style" w:ascii="Bookman Old Style" w:hAnsi="Bookman Old Style"/>
          <w:i/>
          <w:color w:val="000000"/>
          <w:sz w:val="22"/>
          <w:lang w:eastAsia="en-US"/>
        </w:rPr>
      </w:r>
    </w:p>
    <w:p>
      <w:pPr>
        <w:pStyle w:val="Normal"/>
        <w:numPr>
          <w:ilvl w:val="0"/>
          <w:numId w:val="5"/>
        </w:numPr>
        <w:rPr>
          <w:rFonts w:ascii="Bookman Old Style" w:hAnsi="Bookman Old Style" w:cs="Bookman Old Style"/>
          <w:sz w:val="22"/>
        </w:rPr>
      </w:pPr>
      <w:r>
        <w:rPr>
          <w:rFonts w:cs="Bookman Old Style" w:ascii="Bookman Old Style" w:hAnsi="Bookman Old Style"/>
          <w:i/>
          <w:sz w:val="22"/>
        </w:rPr>
        <w:t xml:space="preserve">MSEB Rate Filing. </w:t>
      </w:r>
      <w:r>
        <w:rPr>
          <w:rFonts w:cs="Bookman Old Style" w:ascii="Bookman Old Style" w:hAnsi="Bookman Old Style"/>
          <w:sz w:val="22"/>
        </w:rPr>
        <w:t>Continued our efforts in supporting MSEB in the rate filing process. Also co-ordinating with CRISIL, MSEB officials and Chairman, Mr. Bansal, in preparing the write-ups of the various chapters going into the rate filing.  However, it is not likely that our text comments will be incorporated due to Crisil’s unwillingness to entertain edits.  The regulatory cell has indicated that it will seek DPC’s assistance in responding to technical requests during the rate case.  In addition, it is the current plan that DPC will draft the transmittal letter that will “spin” the rate case.</w:t>
      </w:r>
    </w:p>
    <w:p>
      <w:pPr>
        <w:pStyle w:val="Normal"/>
        <w:rPr>
          <w:rFonts w:ascii="Bookman Old Style" w:hAnsi="Bookman Old Style" w:cs="Bookman Old Style"/>
          <w:color w:val="000000"/>
          <w:sz w:val="22"/>
          <w:lang w:eastAsia="en-US"/>
        </w:rPr>
      </w:pPr>
      <w:r>
        <w:rPr>
          <w:rFonts w:cs="Bookman Old Style" w:ascii="Bookman Old Style" w:hAnsi="Bookman Old Style"/>
          <w:color w:val="000000"/>
          <w:sz w:val="22"/>
          <w:lang w:eastAsia="en-US"/>
        </w:rPr>
      </w:r>
    </w:p>
    <w:p>
      <w:pPr>
        <w:pStyle w:val="Normal"/>
        <w:numPr>
          <w:ilvl w:val="0"/>
          <w:numId w:val="3"/>
        </w:numPr>
        <w:spacing w:lineRule="atLeast" w:line="240"/>
        <w:rPr>
          <w:rFonts w:ascii="Bookman Old Style" w:hAnsi="Bookman Old Style" w:cs="Bookman Old Style"/>
          <w:i/>
          <w:i/>
          <w:sz w:val="22"/>
        </w:rPr>
      </w:pPr>
      <w:r>
        <w:rPr>
          <w:rFonts w:cs="Bookman Old Style" w:ascii="Bookman Old Style" w:hAnsi="Bookman Old Style"/>
          <w:i/>
          <w:sz w:val="22"/>
        </w:rPr>
        <w:t xml:space="preserve">GOI support  for DPC restructuring. </w:t>
      </w:r>
    </w:p>
    <w:p>
      <w:pPr>
        <w:pStyle w:val="Normal"/>
        <w:numPr>
          <w:ilvl w:val="0"/>
          <w:numId w:val="10"/>
        </w:numPr>
        <w:rPr>
          <w:rFonts w:ascii="Bookman Old Style" w:hAnsi="Bookman Old Style" w:cs="Bookman Old Style"/>
          <w:sz w:val="22"/>
        </w:rPr>
      </w:pPr>
      <w:r>
        <w:rPr>
          <w:rFonts w:cs="Bookman Old Style" w:ascii="Bookman Old Style" w:hAnsi="Bookman Old Style"/>
          <w:sz w:val="22"/>
        </w:rPr>
        <w:t>Meeting of Mr Wade Cline was arranged on 6</w:t>
      </w:r>
      <w:r>
        <w:rPr>
          <w:rFonts w:cs="Bookman Old Style" w:ascii="Bookman Old Style" w:hAnsi="Bookman Old Style"/>
          <w:sz w:val="22"/>
          <w:vertAlign w:val="superscript"/>
        </w:rPr>
        <w:t>th</w:t>
      </w:r>
      <w:r>
        <w:rPr>
          <w:rFonts w:cs="Bookman Old Style" w:ascii="Bookman Old Style" w:hAnsi="Bookman Old Style"/>
          <w:sz w:val="22"/>
        </w:rPr>
        <w:t xml:space="preserve"> Feb. with Power Secretary immediately after invoking of counter guarantee. The inaction of GOM on constitution of expert committee, which could be an effective negotiation vehicle, was brought to the notice of Power Secretary. DPC's openness for negotiations was also highlighted. This has helped in GOI pressurizing Chief Secretary (during Finance Secretary's meeting on 7</w:t>
      </w:r>
      <w:r>
        <w:rPr>
          <w:rFonts w:cs="Bookman Old Style" w:ascii="Bookman Old Style" w:hAnsi="Bookman Old Style"/>
          <w:sz w:val="22"/>
          <w:vertAlign w:val="superscript"/>
        </w:rPr>
        <w:t>th</w:t>
      </w:r>
      <w:r>
        <w:rPr>
          <w:rFonts w:cs="Bookman Old Style" w:ascii="Bookman Old Style" w:hAnsi="Bookman Old Style"/>
          <w:sz w:val="22"/>
        </w:rPr>
        <w:t xml:space="preserve"> Feb.] to call for a meeting with DPC on 8</w:t>
      </w:r>
      <w:r>
        <w:rPr>
          <w:rFonts w:cs="Bookman Old Style" w:ascii="Bookman Old Style" w:hAnsi="Bookman Old Style"/>
          <w:sz w:val="22"/>
          <w:vertAlign w:val="superscript"/>
        </w:rPr>
        <w:t>th</w:t>
      </w:r>
      <w:r>
        <w:rPr>
          <w:rFonts w:cs="Bookman Old Style" w:ascii="Bookman Old Style" w:hAnsi="Bookman Old Style"/>
          <w:sz w:val="22"/>
        </w:rPr>
        <w:t xml:space="preserve"> Feb. and also in expediting constitution of Expert Committee.</w:t>
      </w:r>
    </w:p>
    <w:p>
      <w:pPr>
        <w:pStyle w:val="Normal"/>
        <w:ind w:start="360" w:end="0"/>
        <w:rPr>
          <w:rFonts w:ascii="Bookman Old Style" w:hAnsi="Bookman Old Style" w:cs="Bookman Old Style"/>
          <w:sz w:val="22"/>
        </w:rPr>
      </w:pPr>
      <w:r>
        <w:rPr>
          <w:rFonts w:cs="Bookman Old Style" w:ascii="Bookman Old Style" w:hAnsi="Bookman Old Style"/>
          <w:sz w:val="22"/>
        </w:rPr>
      </w:r>
    </w:p>
    <w:p>
      <w:pPr>
        <w:pStyle w:val="Normal"/>
        <w:numPr>
          <w:ilvl w:val="0"/>
          <w:numId w:val="10"/>
        </w:numPr>
        <w:rPr>
          <w:rFonts w:ascii="Bookman Old Style" w:hAnsi="Bookman Old Style" w:cs="Bookman Old Style"/>
          <w:sz w:val="22"/>
        </w:rPr>
      </w:pPr>
      <w:r>
        <w:rPr>
          <w:rFonts w:cs="Bookman Old Style" w:ascii="Bookman Old Style" w:hAnsi="Bookman Old Style"/>
          <w:sz w:val="22"/>
        </w:rPr>
        <w:t>Meeting of Mr Neil McGregor and Mr Mukesh Tyagi (also attended by Mr Seethayya) with Minister of State for Power, Mr. Prabhu was held on 14</w:t>
      </w:r>
      <w:r>
        <w:rPr>
          <w:rFonts w:cs="Bookman Old Style" w:ascii="Bookman Old Style" w:hAnsi="Bookman Old Style"/>
          <w:sz w:val="22"/>
          <w:vertAlign w:val="superscript"/>
        </w:rPr>
        <w:t>th</w:t>
      </w:r>
      <w:r>
        <w:rPr>
          <w:rFonts w:cs="Bookman Old Style" w:ascii="Bookman Old Style" w:hAnsi="Bookman Old Style"/>
          <w:sz w:val="22"/>
        </w:rPr>
        <w:t xml:space="preserve"> February. A cheque of Rs. 5,00,000 for Prime Minister's Relief Fund was handed over. The Minister was briefed about other efforts of DPC to help Gujarat earthquake victims. The Minister also reviewed the DPC issues and expressed strong support for a viable solution. He suggested that DPC could consider extending rebate in tariff till LNG is available and recovering the rebate when LNG based tariff is low. </w:t>
      </w:r>
    </w:p>
    <w:p>
      <w:pPr>
        <w:pStyle w:val="Normal"/>
        <w:rPr>
          <w:rFonts w:ascii="Bookman Old Style" w:hAnsi="Bookman Old Style" w:cs="Bookman Old Style"/>
          <w:sz w:val="22"/>
        </w:rPr>
      </w:pPr>
      <w:r>
        <w:rPr>
          <w:rFonts w:cs="Bookman Old Style" w:ascii="Bookman Old Style" w:hAnsi="Bookman Old Style"/>
          <w:sz w:val="22"/>
        </w:rPr>
      </w:r>
    </w:p>
    <w:p>
      <w:pPr>
        <w:pStyle w:val="Normal"/>
        <w:numPr>
          <w:ilvl w:val="0"/>
          <w:numId w:val="10"/>
        </w:numPr>
        <w:rPr>
          <w:rFonts w:ascii="Bookman Old Style" w:hAnsi="Bookman Old Style" w:cs="Bookman Old Style"/>
          <w:sz w:val="22"/>
        </w:rPr>
      </w:pPr>
      <w:r>
        <w:rPr>
          <w:rFonts w:cs="Bookman Old Style" w:ascii="Bookman Old Style" w:hAnsi="Bookman Old Style"/>
          <w:sz w:val="22"/>
        </w:rPr>
        <w:t>Meetings of Mr Jim Hughes and Mr Wade Cline (also attended by Mr Ashok Mehta and Mr Seethayya) were held on 14</w:t>
      </w:r>
      <w:r>
        <w:rPr>
          <w:rFonts w:cs="Bookman Old Style" w:ascii="Bookman Old Style" w:hAnsi="Bookman Old Style"/>
          <w:sz w:val="22"/>
          <w:vertAlign w:val="superscript"/>
        </w:rPr>
        <w:t>th</w:t>
      </w:r>
      <w:r>
        <w:rPr>
          <w:rFonts w:cs="Bookman Old Style" w:ascii="Bookman Old Style" w:hAnsi="Bookman Old Style"/>
          <w:sz w:val="22"/>
        </w:rPr>
        <w:t xml:space="preserve"> Feb., with Power Secretary, Mr Basu and Power Minister, Mr Prabhu. The meetings were encouraging. Both of them agreed to continue to extend the support for timely payment of bills by MSEB. They are working at political as well as bureaucratic level at the state. It is understood that Chairman, MSEB has conveyed that payment of December bill before 25</w:t>
      </w:r>
      <w:r>
        <w:rPr>
          <w:rFonts w:cs="Bookman Old Style" w:ascii="Bookman Old Style" w:hAnsi="Bookman Old Style"/>
          <w:sz w:val="22"/>
          <w:vertAlign w:val="superscript"/>
        </w:rPr>
        <w:t>th</w:t>
      </w:r>
      <w:r>
        <w:rPr>
          <w:rFonts w:cs="Bookman Old Style" w:ascii="Bookman Old Style" w:hAnsi="Bookman Old Style"/>
          <w:sz w:val="22"/>
        </w:rPr>
        <w:t xml:space="preserve"> Feb., may not be a problem. GOM/MSEB had requested Power Ministry to nominate their representative to the Expert Committee. Even though Power Ministry was initially inclined to nominate their representative or observer, later they decided not to go with it. Their view is that non-participation at this stage is good for all. In case they participate they may become party to the recommendations of the committee. In case the recommendations are not subsequently implemented they would be criticized for that. In case they are implemented the public may criticize that the Central Government had stepped in from the beginning to salvage a State Project.  As they are committed to accept any viable recommendations of the committee, they can happily implement them under the garb of recommendations of Independent Committee. This sounds good. </w:t>
      </w:r>
    </w:p>
    <w:p>
      <w:pPr>
        <w:pStyle w:val="Normal"/>
        <w:ind w:start="360" w:end="0"/>
        <w:rPr>
          <w:rFonts w:ascii="Bookman Old Style" w:hAnsi="Bookman Old Style" w:cs="Bookman Old Style"/>
          <w:sz w:val="22"/>
        </w:rPr>
      </w:pPr>
      <w:r>
        <w:rPr>
          <w:rFonts w:cs="Bookman Old Style" w:ascii="Bookman Old Style" w:hAnsi="Bookman Old Style"/>
          <w:sz w:val="22"/>
        </w:rPr>
      </w:r>
    </w:p>
    <w:p>
      <w:pPr>
        <w:pStyle w:val="BodyTextIndent2"/>
        <w:rPr/>
      </w:pPr>
      <w:r>
        <w:rPr>
          <w:rFonts w:eastAsia="Bookman Old Style"/>
        </w:rPr>
        <w:t xml:space="preserve">     </w:t>
      </w:r>
      <w:r>
        <w:rPr/>
        <w:t xml:space="preserve">(d) Power Minister has assured that GOI would honor Counter Guarantee payments whenever necessary. He also reinforced GOI's commitment to salvage the situation. He is open to any viable solutions but adamant to accept any purchase of power by NTPC or PTC. Power Minister said that every stakeholder has to sacrifice something to arrive at a win win situation. They are confident that if tariff could be reduced, it could enhance feasibility to arrive at permanent solutions. It is understood that Haryana and Karnataka are desperately looking for affordable immediate power. Centre is inclined to work out reduced wheeling charges if tariff is acceptable to the buying states. </w:t>
      </w:r>
    </w:p>
    <w:p>
      <w:pPr>
        <w:pStyle w:val="Normal"/>
        <w:jc w:val="both"/>
        <w:rPr/>
      </w:pPr>
      <w:r>
        <w:rPr/>
      </w:r>
    </w:p>
    <w:p>
      <w:pPr>
        <w:pStyle w:val="Normal"/>
        <w:numPr>
          <w:ilvl w:val="0"/>
          <w:numId w:val="18"/>
        </w:numPr>
        <w:spacing w:lineRule="atLeast" w:line="240"/>
        <w:rPr>
          <w:rFonts w:ascii="Bookman Old Style" w:hAnsi="Bookman Old Style" w:cs="Bookman Old Style"/>
          <w:sz w:val="22"/>
        </w:rPr>
      </w:pPr>
      <w:r>
        <w:rPr>
          <w:rFonts w:cs="Bookman Old Style" w:ascii="Bookman Old Style" w:hAnsi="Bookman Old Style"/>
          <w:i/>
          <w:sz w:val="22"/>
        </w:rPr>
        <w:t>DPC Project Imports.</w:t>
      </w:r>
      <w:r>
        <w:rPr>
          <w:rFonts w:cs="Bookman Old Style" w:ascii="Bookman Old Style" w:hAnsi="Bookman Old Style"/>
          <w:i/>
          <w:sz w:val="22"/>
          <w:lang w:eastAsia="en-US"/>
        </w:rPr>
        <w:t xml:space="preserve"> </w:t>
      </w:r>
    </w:p>
    <w:p>
      <w:pPr>
        <w:pStyle w:val="Normal"/>
        <w:spacing w:lineRule="atLeast" w:line="240"/>
        <w:ind w:hanging="270" w:start="630" w:end="0"/>
        <w:rPr/>
      </w:pPr>
      <w:r>
        <w:rPr>
          <w:rFonts w:cs="Bookman Old Style" w:ascii="Bookman Old Style" w:hAnsi="Bookman Old Style"/>
          <w:sz w:val="22"/>
        </w:rPr>
        <w:t>(a) A team of CEA officials (Mr R K Jain and Mr Seshadree) met GOM, MSEB and DPC officials and also visited project site. Identified a set of questions on which DPC has to give information by 23</w:t>
      </w:r>
      <w:r>
        <w:rPr>
          <w:rFonts w:cs="Bookman Old Style" w:ascii="Bookman Old Style" w:hAnsi="Bookman Old Style"/>
          <w:sz w:val="22"/>
          <w:vertAlign w:val="superscript"/>
        </w:rPr>
        <w:t>rd</w:t>
      </w:r>
      <w:r>
        <w:rPr>
          <w:rFonts w:cs="Bookman Old Style" w:ascii="Bookman Old Style" w:hAnsi="Bookman Old Style"/>
          <w:sz w:val="22"/>
        </w:rPr>
        <w:t xml:space="preserve"> February. These issues would be discussed in DPC internal meeting of 15</w:t>
      </w:r>
      <w:r>
        <w:rPr>
          <w:rFonts w:cs="Bookman Old Style" w:ascii="Bookman Old Style" w:hAnsi="Bookman Old Style"/>
          <w:sz w:val="22"/>
          <w:vertAlign w:val="superscript"/>
        </w:rPr>
        <w:t>th</w:t>
      </w:r>
      <w:r>
        <w:rPr>
          <w:rFonts w:cs="Bookman Old Style" w:ascii="Bookman Old Style" w:hAnsi="Bookman Old Style"/>
          <w:sz w:val="22"/>
        </w:rPr>
        <w:t xml:space="preserve"> February.</w:t>
      </w:r>
    </w:p>
    <w:p>
      <w:pPr>
        <w:pStyle w:val="Normal"/>
        <w:rPr>
          <w:rFonts w:ascii="Bookman Old Style" w:hAnsi="Bookman Old Style" w:cs="Bookman Old Style"/>
          <w:sz w:val="22"/>
        </w:rPr>
      </w:pPr>
      <w:r>
        <w:rPr>
          <w:rFonts w:cs="Bookman Old Style" w:ascii="Bookman Old Style" w:hAnsi="Bookman Old Style"/>
          <w:sz w:val="22"/>
        </w:rPr>
      </w:r>
    </w:p>
    <w:p>
      <w:pPr>
        <w:pStyle w:val="Subject"/>
        <w:spacing w:lineRule="atLeast" w:line="240"/>
        <w:ind w:hanging="270" w:start="630" w:end="0"/>
        <w:rPr/>
      </w:pPr>
      <w:r>
        <w:rPr>
          <w:rFonts w:cs="Bookman Old Style" w:ascii="Bookman Old Style" w:hAnsi="Bookman Old Style"/>
          <w:sz w:val="22"/>
        </w:rPr>
        <w:t>(b) Meeting held with Mr Mohanty on 14</w:t>
      </w:r>
      <w:r>
        <w:rPr>
          <w:rFonts w:cs="Bookman Old Style" w:ascii="Bookman Old Style" w:hAnsi="Bookman Old Style"/>
          <w:sz w:val="22"/>
          <w:vertAlign w:val="superscript"/>
        </w:rPr>
        <w:t>th</w:t>
      </w:r>
      <w:r>
        <w:rPr>
          <w:rFonts w:cs="Bookman Old Style" w:ascii="Bookman Old Style" w:hAnsi="Bookman Old Style"/>
          <w:sz w:val="22"/>
        </w:rPr>
        <w:t xml:space="preserve"> February by Mr Neil McGregor, Mr Mukesh Tyagi and Mr K. Seethayya. Mr Mohanty was apprised of DPC's efforts with Chief Commissioner of Customs. Mr Mohanty had conveyed his strong commitment to take an informed decision. He advised to give a note explaining all the issues from our side. Agreed to meet for a presentation after budget is introduced i.e. first week of March.  Also advised to work with Power Ministry for a favorable recommendation. Mr Mohanty is hopeful that in case we declare that the terminal would not be used for third parties, there would be no issue on concessional customs duties. We avoided a reply to this</w:t>
      </w:r>
      <w:r>
        <w:rPr>
          <w:color w:val="800000"/>
          <w:sz w:val="24"/>
        </w:rPr>
        <w:t xml:space="preserve"> </w:t>
      </w:r>
      <w:r>
        <w:rPr>
          <w:rFonts w:cs="Bookman Old Style" w:ascii="Bookman Old Style" w:hAnsi="Bookman Old Style"/>
          <w:sz w:val="22"/>
        </w:rPr>
        <w:t xml:space="preserve">issue. </w:t>
      </w:r>
    </w:p>
    <w:p>
      <w:pPr>
        <w:pStyle w:val="Subject"/>
        <w:spacing w:lineRule="atLeast" w:line="240"/>
        <w:rPr>
          <w:rFonts w:ascii="Bookman Old Style" w:hAnsi="Bookman Old Style" w:cs="Bookman Old Style"/>
          <w:sz w:val="22"/>
        </w:rPr>
      </w:pPr>
      <w:r>
        <w:rPr>
          <w:rFonts w:cs="Bookman Old Style" w:ascii="Bookman Old Style" w:hAnsi="Bookman Old Style"/>
          <w:sz w:val="22"/>
        </w:rPr>
      </w:r>
    </w:p>
    <w:p>
      <w:pPr>
        <w:pStyle w:val="Subject"/>
        <w:numPr>
          <w:ilvl w:val="0"/>
          <w:numId w:val="10"/>
        </w:numPr>
        <w:spacing w:lineRule="atLeast" w:line="240"/>
        <w:rPr>
          <w:rFonts w:ascii="Bookman Old Style" w:hAnsi="Bookman Old Style" w:cs="Bookman Old Style"/>
          <w:sz w:val="22"/>
        </w:rPr>
      </w:pPr>
      <w:r>
        <w:rPr>
          <w:rFonts w:cs="Bookman Old Style" w:ascii="Bookman Old Style" w:hAnsi="Bookman Old Style"/>
          <w:sz w:val="22"/>
        </w:rPr>
        <w:t>A presentation to Mr Mohanty has been planned during first week of March, 2001.</w:t>
      </w:r>
    </w:p>
    <w:p>
      <w:pPr>
        <w:pStyle w:val="Subject"/>
        <w:spacing w:lineRule="atLeast" w:line="240"/>
        <w:rPr>
          <w:rFonts w:ascii="Bookman Old Style" w:hAnsi="Bookman Old Style" w:cs="Bookman Old Style"/>
          <w:sz w:val="22"/>
        </w:rPr>
      </w:pPr>
      <w:r>
        <w:rPr>
          <w:rFonts w:cs="Bookman Old Style" w:ascii="Bookman Old Style" w:hAnsi="Bookman Old Style"/>
          <w:sz w:val="22"/>
        </w:rPr>
      </w:r>
    </w:p>
    <w:p>
      <w:pPr>
        <w:pStyle w:val="Normal"/>
        <w:numPr>
          <w:ilvl w:val="0"/>
          <w:numId w:val="15"/>
        </w:numPr>
        <w:rPr>
          <w:rFonts w:ascii="Bookman Old Style" w:hAnsi="Bookman Old Style" w:cs="Bookman Old Style"/>
          <w:sz w:val="22"/>
        </w:rPr>
      </w:pPr>
      <w:r>
        <w:rPr>
          <w:rFonts w:cs="Bookman Old Style" w:ascii="Bookman Old Style" w:hAnsi="Bookman Old Style"/>
          <w:i/>
          <w:sz w:val="22"/>
        </w:rPr>
        <w:t xml:space="preserve">GOI Counter Guarantee Limit. </w:t>
      </w:r>
      <w:r>
        <w:rPr>
          <w:rFonts w:cs="Bookman Old Style" w:ascii="Bookman Old Style" w:hAnsi="Bookman Old Style"/>
          <w:sz w:val="22"/>
        </w:rPr>
        <w:t>DPC finance team has been in touch with concerned GOM officials and are providing the information required by them. Finance Ministry has also referred the matter to Law Ministry for their opinion. Once GOM recommendations are received, they would take a final view on the limit.</w:t>
      </w:r>
    </w:p>
    <w:p>
      <w:pPr>
        <w:pStyle w:val="Subject"/>
        <w:spacing w:lineRule="atLeast" w:line="240"/>
        <w:rPr>
          <w:rFonts w:ascii="Helv;Arial" w:hAnsi="Helv;Arial" w:cs="Helv;Arial"/>
          <w:sz w:val="22"/>
        </w:rPr>
      </w:pPr>
      <w:r>
        <w:rPr>
          <w:rFonts w:cs="Helv;Arial" w:ascii="Helv;Arial" w:hAnsi="Helv;Arial"/>
          <w:sz w:val="22"/>
        </w:rPr>
      </w:r>
    </w:p>
    <w:p>
      <w:pPr>
        <w:pStyle w:val="Normal"/>
        <w:numPr>
          <w:ilvl w:val="0"/>
          <w:numId w:val="9"/>
        </w:numPr>
        <w:rPr>
          <w:rFonts w:ascii="Bookman Old Style" w:hAnsi="Bookman Old Style" w:cs="Bookman Old Style"/>
          <w:sz w:val="22"/>
        </w:rPr>
      </w:pPr>
      <w:r>
        <w:rPr>
          <w:rFonts w:cs="Bookman Old Style" w:ascii="Bookman Old Style" w:hAnsi="Bookman Old Style"/>
          <w:i/>
          <w:sz w:val="22"/>
        </w:rPr>
        <w:t xml:space="preserve">FIPB Amendment for DPC approval. </w:t>
      </w:r>
      <w:r>
        <w:rPr>
          <w:rFonts w:cs="Bookman Old Style" w:ascii="Bookman Old Style" w:hAnsi="Bookman Old Style"/>
          <w:sz w:val="22"/>
        </w:rPr>
        <w:t>FIPB approval was received on 13</w:t>
      </w:r>
      <w:r>
        <w:rPr>
          <w:rFonts w:cs="Bookman Old Style" w:ascii="Bookman Old Style" w:hAnsi="Bookman Old Style"/>
          <w:sz w:val="22"/>
          <w:vertAlign w:val="superscript"/>
        </w:rPr>
        <w:t>th</w:t>
      </w:r>
      <w:r>
        <w:rPr>
          <w:rFonts w:cs="Bookman Old Style" w:ascii="Bookman Old Style" w:hAnsi="Bookman Old Style"/>
          <w:sz w:val="22"/>
        </w:rPr>
        <w:t xml:space="preserve"> February, 2001.</w:t>
      </w:r>
    </w:p>
    <w:p>
      <w:pPr>
        <w:pStyle w:val="Subject"/>
        <w:spacing w:lineRule="atLeast" w:line="240"/>
        <w:rPr>
          <w:rFonts w:ascii="Helv;Arial" w:hAnsi="Helv;Arial" w:cs="Helv;Arial"/>
          <w:sz w:val="22"/>
        </w:rPr>
      </w:pPr>
      <w:r>
        <w:rPr>
          <w:rFonts w:cs="Helv;Arial" w:ascii="Helv;Arial" w:hAnsi="Helv;Arial"/>
          <w:sz w:val="22"/>
        </w:rPr>
      </w:r>
    </w:p>
    <w:p>
      <w:pPr>
        <w:pStyle w:val="Normal"/>
        <w:numPr>
          <w:ilvl w:val="0"/>
          <w:numId w:val="12"/>
        </w:numPr>
        <w:rPr>
          <w:rFonts w:ascii="Bookman Old Style" w:hAnsi="Bookman Old Style" w:cs="Bookman Old Style"/>
          <w:sz w:val="22"/>
        </w:rPr>
      </w:pPr>
      <w:r>
        <w:rPr>
          <w:rFonts w:cs="Bookman Old Style" w:ascii="Bookman Old Style" w:hAnsi="Bookman Old Style"/>
          <w:i/>
          <w:sz w:val="22"/>
        </w:rPr>
        <w:t xml:space="preserve">FIPB approval for Trading in Power Sector.  </w:t>
      </w:r>
      <w:r>
        <w:rPr>
          <w:rFonts w:cs="Bookman Old Style" w:ascii="Bookman Old Style" w:hAnsi="Bookman Old Style"/>
          <w:sz w:val="22"/>
        </w:rPr>
        <w:t>Power Secretary conveyed that Union Cabinet has cleared the proposal. Later it was understood that GOM (Group of Ministers) had met again on this matter recently (as Power Ministry did not give clear nod in its earlier meeting.). Now the proposal is likely to go to Union Cabinet soon. It is expected that the approval may be formalized within 2-3 weeks.  There is a feeling among government officials and the public that if this approval comes through, the huge problems facing DPC will be taken care of.</w:t>
      </w:r>
    </w:p>
    <w:p>
      <w:pPr>
        <w:pStyle w:val="Normal"/>
        <w:jc w:val="both"/>
        <w:rPr>
          <w:rFonts w:ascii="Bookman Old Style" w:hAnsi="Bookman Old Style" w:cs="Bookman Old Style"/>
          <w:sz w:val="22"/>
        </w:rPr>
      </w:pPr>
      <w:r>
        <w:rPr>
          <w:rFonts w:cs="Bookman Old Style" w:ascii="Bookman Old Style" w:hAnsi="Bookman Old Style"/>
          <w:sz w:val="22"/>
        </w:rPr>
      </w:r>
    </w:p>
    <w:p>
      <w:pPr>
        <w:pStyle w:val="Normal"/>
        <w:numPr>
          <w:ilvl w:val="0"/>
          <w:numId w:val="13"/>
        </w:numPr>
        <w:rPr>
          <w:rFonts w:ascii="Bookman Old Style" w:hAnsi="Bookman Old Style" w:cs="Bookman Old Style"/>
          <w:i/>
          <w:i/>
          <w:sz w:val="22"/>
        </w:rPr>
      </w:pPr>
      <w:r>
        <w:rPr>
          <w:rFonts w:cs="Bookman Old Style" w:ascii="Bookman Old Style" w:hAnsi="Bookman Old Style"/>
          <w:i/>
          <w:sz w:val="22"/>
        </w:rPr>
        <w:t xml:space="preserve">Information to Ministry of Power: </w:t>
      </w:r>
    </w:p>
    <w:p>
      <w:pPr>
        <w:pStyle w:val="Normal"/>
        <w:ind w:start="360" w:end="0"/>
        <w:rPr/>
      </w:pPr>
      <w:r>
        <w:rPr>
          <w:rFonts w:cs="Bookman Old Style" w:ascii="Bookman Old Style" w:hAnsi="Bookman Old Style"/>
          <w:sz w:val="22"/>
        </w:rPr>
        <w:t>Met with Mr Suvrathan, Joint Secretary, Ministry of Power on 14</w:t>
      </w:r>
      <w:r>
        <w:rPr>
          <w:rFonts w:cs="Bookman Old Style" w:ascii="Bookman Old Style" w:hAnsi="Bookman Old Style"/>
          <w:sz w:val="22"/>
          <w:vertAlign w:val="superscript"/>
        </w:rPr>
        <w:t>th</w:t>
      </w:r>
      <w:r>
        <w:rPr>
          <w:rFonts w:cs="Bookman Old Style" w:ascii="Bookman Old Style" w:hAnsi="Bookman Old Style"/>
          <w:sz w:val="22"/>
        </w:rPr>
        <w:t xml:space="preserve"> Feb. He sought the following information in as much detail as possible to face all possible questions, debates etc. during upcoming Budget Session of the Parliament.</w:t>
      </w:r>
    </w:p>
    <w:p>
      <w:pPr>
        <w:pStyle w:val="Normal"/>
        <w:rPr>
          <w:rFonts w:ascii="Bookman Old Style" w:hAnsi="Bookman Old Style" w:cs="Bookman Old Style"/>
          <w:sz w:val="22"/>
        </w:rPr>
      </w:pPr>
      <w:r>
        <w:rPr>
          <w:rFonts w:cs="Bookman Old Style" w:ascii="Bookman Old Style" w:hAnsi="Bookman Old Style"/>
          <w:sz w:val="22"/>
        </w:rPr>
      </w:r>
    </w:p>
    <w:p>
      <w:pPr>
        <w:pStyle w:val="Normal"/>
        <w:numPr>
          <w:ilvl w:val="0"/>
          <w:numId w:val="14"/>
        </w:numPr>
        <w:rPr>
          <w:rFonts w:ascii="Bookman Old Style" w:hAnsi="Bookman Old Style" w:cs="Bookman Old Style"/>
          <w:sz w:val="22"/>
        </w:rPr>
      </w:pPr>
      <w:r>
        <w:rPr>
          <w:rFonts w:cs="Bookman Old Style" w:ascii="Bookman Old Style" w:hAnsi="Bookman Old Style"/>
          <w:sz w:val="22"/>
        </w:rPr>
        <w:t>History of DPC tariff figures since 1992 and reasons for variations;</w:t>
      </w:r>
    </w:p>
    <w:p>
      <w:pPr>
        <w:pStyle w:val="Normal"/>
        <w:numPr>
          <w:ilvl w:val="0"/>
          <w:numId w:val="14"/>
        </w:numPr>
        <w:rPr>
          <w:rFonts w:ascii="Bookman Old Style" w:hAnsi="Bookman Old Style" w:cs="Bookman Old Style"/>
          <w:sz w:val="22"/>
        </w:rPr>
      </w:pPr>
      <w:r>
        <w:rPr>
          <w:rFonts w:cs="Bookman Old Style" w:ascii="Bookman Old Style" w:hAnsi="Bookman Old Style"/>
          <w:sz w:val="22"/>
        </w:rPr>
        <w:t>CEA cleared cost - Reasons for high capital cost of around Rs.6 crores/MW;</w:t>
      </w:r>
    </w:p>
    <w:p>
      <w:pPr>
        <w:pStyle w:val="Normal"/>
        <w:numPr>
          <w:ilvl w:val="0"/>
          <w:numId w:val="14"/>
        </w:numPr>
        <w:rPr>
          <w:rFonts w:ascii="Bookman Old Style" w:hAnsi="Bookman Old Style" w:cs="Bookman Old Style"/>
          <w:sz w:val="22"/>
        </w:rPr>
      </w:pPr>
      <w:r>
        <w:rPr>
          <w:rFonts w:cs="Bookman Old Style" w:ascii="Bookman Old Style" w:hAnsi="Bookman Old Style"/>
          <w:sz w:val="22"/>
        </w:rPr>
        <w:t>Rate of Return: Does DPC tariff structure include component for 16% post-tax return? If not, how return is reflected in the tariff? Details of various tariff components;</w:t>
      </w:r>
    </w:p>
    <w:p>
      <w:pPr>
        <w:pStyle w:val="Normal"/>
        <w:numPr>
          <w:ilvl w:val="0"/>
          <w:numId w:val="14"/>
        </w:numPr>
        <w:rPr>
          <w:rFonts w:ascii="Bookman Old Style" w:hAnsi="Bookman Old Style" w:cs="Bookman Old Style"/>
          <w:sz w:val="22"/>
        </w:rPr>
      </w:pPr>
      <w:r>
        <w:rPr>
          <w:rFonts w:cs="Bookman Old Style" w:ascii="Bookman Old Style" w:hAnsi="Bookman Old Style"/>
          <w:sz w:val="22"/>
        </w:rPr>
        <w:t>CEA clearance under 43 A of ES Act: If GOI/CEA had approved the tariff deviations by satisfying themselves that DPC tariff is less than GOI two-part tariff notification, why DPC tariff is presently said to be high;</w:t>
      </w:r>
    </w:p>
    <w:p>
      <w:pPr>
        <w:pStyle w:val="Normal"/>
        <w:rPr>
          <w:rFonts w:ascii="Bookman Old Style" w:hAnsi="Bookman Old Style" w:cs="Bookman Old Style"/>
          <w:sz w:val="22"/>
        </w:rPr>
      </w:pPr>
      <w:r>
        <w:rPr>
          <w:rFonts w:cs="Bookman Old Style" w:ascii="Bookman Old Style" w:hAnsi="Bookman Old Style"/>
          <w:sz w:val="22"/>
        </w:rPr>
        <w:t>5.  How DPC tariff compares favorably with similar projects?</w:t>
      </w:r>
    </w:p>
    <w:p>
      <w:pPr>
        <w:pStyle w:val="Normal"/>
        <w:rPr>
          <w:rFonts w:ascii="Bookman Old Style" w:hAnsi="Bookman Old Style" w:cs="Bookman Old Style"/>
          <w:sz w:val="22"/>
        </w:rPr>
      </w:pPr>
      <w:r>
        <w:rPr>
          <w:rFonts w:cs="Bookman Old Style" w:ascii="Bookman Old Style" w:hAnsi="Bookman Old Style"/>
          <w:sz w:val="22"/>
        </w:rPr>
      </w:r>
    </w:p>
    <w:p>
      <w:pPr>
        <w:pStyle w:val="Normal"/>
        <w:ind w:start="360" w:end="0"/>
        <w:rPr>
          <w:rFonts w:ascii="Bookman Old Style" w:hAnsi="Bookman Old Style" w:cs="Bookman Old Style"/>
          <w:sz w:val="22"/>
        </w:rPr>
      </w:pPr>
      <w:r>
        <w:rPr>
          <w:rFonts w:cs="Bookman Old Style" w:ascii="Bookman Old Style" w:hAnsi="Bookman Old Style"/>
          <w:sz w:val="22"/>
        </w:rPr>
        <w:t>Co-ordinated with DPC team to provide the above information which will be  submitted to Mr. Suvrathan week of February 26.</w:t>
      </w:r>
    </w:p>
    <w:p>
      <w:pPr>
        <w:pStyle w:val="Normal"/>
        <w:jc w:val="both"/>
        <w:rPr>
          <w:rFonts w:ascii="Bookman Old Style" w:hAnsi="Bookman Old Style" w:cs="Bookman Old Style"/>
          <w:sz w:val="22"/>
        </w:rPr>
      </w:pPr>
      <w:r>
        <w:rPr>
          <w:rFonts w:cs="Bookman Old Style" w:ascii="Bookman Old Style" w:hAnsi="Bookman Old Style"/>
          <w:sz w:val="22"/>
        </w:rPr>
      </w:r>
    </w:p>
    <w:p>
      <w:pPr>
        <w:pStyle w:val="Normal"/>
        <w:numPr>
          <w:ilvl w:val="0"/>
          <w:numId w:val="19"/>
        </w:numPr>
        <w:jc w:val="both"/>
        <w:rPr>
          <w:rFonts w:ascii="Bookman Old Style" w:hAnsi="Bookman Old Style" w:cs="Bookman Old Style"/>
          <w:i/>
          <w:i/>
          <w:sz w:val="22"/>
        </w:rPr>
      </w:pPr>
      <w:r>
        <w:rPr>
          <w:rFonts w:cs="Bookman Old Style" w:ascii="Bookman Old Style" w:hAnsi="Bookman Old Style"/>
          <w:i/>
          <w:sz w:val="22"/>
        </w:rPr>
        <w:t xml:space="preserve">Public opinion on DPC issue. </w:t>
      </w:r>
      <w:r>
        <w:rPr>
          <w:rFonts w:cs="Bookman Old Style" w:ascii="Bookman Old Style" w:hAnsi="Bookman Old Style"/>
          <w:sz w:val="22"/>
        </w:rPr>
        <w:t>As a result of media advertisements, PR campaign and articles in the press being more supportive of Enron/DPC and simultaneously highlighting the problems of MSEB/GOM, there has been a positive shift among some sections of the public in favour of Enron in Delhi.  However, the majority continues to believe that it was a bad contract from MSEB point of view, the tariff is too high and the PPA will have to be re-negotiated.</w:t>
      </w:r>
    </w:p>
    <w:p>
      <w:pPr>
        <w:pStyle w:val="Normal"/>
        <w:jc w:val="both"/>
        <w:rPr>
          <w:rFonts w:ascii="Bookman Old Style" w:hAnsi="Bookman Old Style" w:cs="Bookman Old Style"/>
          <w:i/>
          <w:i/>
          <w:sz w:val="22"/>
        </w:rPr>
      </w:pPr>
      <w:r>
        <w:rPr>
          <w:rFonts w:cs="Bookman Old Style" w:ascii="Bookman Old Style" w:hAnsi="Bookman Old Style"/>
          <w:i/>
          <w:sz w:val="22"/>
        </w:rPr>
      </w:r>
    </w:p>
    <w:p>
      <w:pPr>
        <w:pStyle w:val="Normal"/>
        <w:numPr>
          <w:ilvl w:val="0"/>
          <w:numId w:val="19"/>
        </w:numPr>
        <w:jc w:val="both"/>
        <w:rPr/>
      </w:pPr>
      <w:r>
        <w:rPr>
          <w:rFonts w:cs="Bookman Old Style" w:ascii="Bookman Old Style" w:hAnsi="Bookman Old Style"/>
          <w:i/>
          <w:sz w:val="22"/>
        </w:rPr>
        <w:t>DPC Review Committee.</w:t>
      </w:r>
    </w:p>
    <w:p>
      <w:pPr>
        <w:pStyle w:val="BodyTextIndent3"/>
        <w:rPr>
          <w:rFonts w:ascii="Times New Roman" w:hAnsi="Times New Roman" w:cs="Times New Roman"/>
          <w:sz w:val="20"/>
        </w:rPr>
      </w:pPr>
      <w:r>
        <w:rPr/>
        <w:t xml:space="preserve">GOI awaits GOM proposals for resolving the DPC issues now that the Review Committee has been set up. </w:t>
      </w:r>
    </w:p>
    <w:p>
      <w:pPr>
        <w:pStyle w:val="Normal"/>
        <w:jc w:val="both"/>
        <w:rPr>
          <w:rFonts w:ascii="Bookman Old Style" w:hAnsi="Bookman Old Style" w:cs="Bookman Old Style"/>
          <w:sz w:val="22"/>
        </w:rPr>
      </w:pPr>
      <w:r>
        <w:rPr>
          <w:rFonts w:cs="Bookman Old Style" w:ascii="Bookman Old Style" w:hAnsi="Bookman Old Style"/>
          <w:sz w:val="22"/>
        </w:rPr>
      </w:r>
    </w:p>
    <w:p>
      <w:pPr>
        <w:pStyle w:val="BodyTextIndent3"/>
        <w:rPr/>
      </w:pPr>
      <w:r>
        <w:rPr/>
        <w:t>Much time was spent responding to and clarifying various issues relating to DPC – the invocation of the GOI Counter Guarantee, the setting up of the GOM Review Committee etc.</w:t>
      </w:r>
    </w:p>
    <w:p>
      <w:pPr>
        <w:pStyle w:val="Normal"/>
        <w:jc w:val="both"/>
        <w:rPr>
          <w:rFonts w:ascii="Bookman Old Style" w:hAnsi="Bookman Old Style" w:cs="Bookman Old Style"/>
          <w:i/>
          <w:i/>
          <w:sz w:val="22"/>
        </w:rPr>
      </w:pPr>
      <w:r>
        <w:rPr>
          <w:rFonts w:cs="Bookman Old Style" w:ascii="Bookman Old Style" w:hAnsi="Bookman Old Style"/>
          <w:i/>
          <w:sz w:val="22"/>
        </w:rPr>
      </w:r>
    </w:p>
    <w:p>
      <w:pPr>
        <w:pStyle w:val="Normal"/>
        <w:numPr>
          <w:ilvl w:val="0"/>
          <w:numId w:val="19"/>
        </w:numPr>
        <w:jc w:val="both"/>
        <w:rPr>
          <w:rFonts w:ascii="Bookman Old Style" w:hAnsi="Bookman Old Style" w:cs="Bookman Old Style"/>
          <w:sz w:val="22"/>
        </w:rPr>
      </w:pPr>
      <w:r>
        <w:rPr>
          <w:rFonts w:cs="Bookman Old Style" w:ascii="Bookman Old Style" w:hAnsi="Bookman Old Style"/>
          <w:i/>
          <w:sz w:val="22"/>
        </w:rPr>
        <w:t xml:space="preserve">Electricity Bill 2000. </w:t>
      </w:r>
      <w:r>
        <w:rPr>
          <w:rFonts w:cs="Bookman Old Style" w:ascii="Bookman Old Style" w:hAnsi="Bookman Old Style"/>
          <w:sz w:val="22"/>
        </w:rPr>
        <w:t>The budget session of Parliament commences on February 19</w:t>
      </w:r>
      <w:r>
        <w:rPr>
          <w:rFonts w:cs="Bookman Old Style" w:ascii="Bookman Old Style" w:hAnsi="Bookman Old Style"/>
          <w:sz w:val="22"/>
          <w:vertAlign w:val="superscript"/>
        </w:rPr>
        <w:t>th</w:t>
      </w:r>
      <w:r>
        <w:rPr>
          <w:rFonts w:cs="Bookman Old Style" w:ascii="Bookman Old Style" w:hAnsi="Bookman Old Style"/>
          <w:sz w:val="22"/>
        </w:rPr>
        <w:t xml:space="preserve"> and it is expected that the Electricity Bill 2000/2001 will be tabled in this session.</w:t>
      </w:r>
    </w:p>
    <w:p>
      <w:pPr>
        <w:pStyle w:val="Normal"/>
        <w:jc w:val="both"/>
        <w:rPr>
          <w:rFonts w:ascii="Bookman Old Style" w:hAnsi="Bookman Old Style" w:cs="Bookman Old Style"/>
          <w:sz w:val="22"/>
        </w:rPr>
      </w:pPr>
      <w:r>
        <w:rPr>
          <w:rFonts w:cs="Bookman Old Style" w:ascii="Bookman Old Style" w:hAnsi="Bookman Old Style"/>
          <w:sz w:val="22"/>
        </w:rPr>
      </w:r>
    </w:p>
    <w:p>
      <w:pPr>
        <w:pStyle w:val="Normal"/>
        <w:jc w:val="both"/>
        <w:rPr>
          <w:rFonts w:ascii="Bookman Old Style" w:hAnsi="Bookman Old Style" w:cs="Bookman Old Style"/>
          <w:sz w:val="22"/>
        </w:rPr>
      </w:pPr>
      <w:r>
        <w:rPr>
          <w:rFonts w:cs="Bookman Old Style" w:ascii="Bookman Old Style" w:hAnsi="Bookman Old Style"/>
          <w:sz w:val="22"/>
        </w:rPr>
      </w:r>
    </w:p>
    <w:p>
      <w:pPr>
        <w:pStyle w:val="Heading1"/>
        <w:ind w:hanging="0" w:start="0"/>
        <w:jc w:val="both"/>
        <w:rPr>
          <w:color w:val="auto"/>
        </w:rPr>
      </w:pPr>
      <w:r>
        <w:rPr>
          <w:color w:val="auto"/>
        </w:rPr>
        <w:t>Communications</w:t>
      </w:r>
    </w:p>
    <w:p>
      <w:pPr>
        <w:pStyle w:val="Normal"/>
        <w:keepLines/>
        <w:tabs>
          <w:tab w:val="clear" w:pos="720"/>
          <w:tab w:val="left" w:pos="2227" w:leader="none"/>
        </w:tabs>
        <w:spacing w:lineRule="atLeast" w:line="240"/>
        <w:jc w:val="both"/>
        <w:rPr>
          <w:rFonts w:ascii="Bookman Old Style" w:hAnsi="Bookman Old Style" w:cs="Bookman Old Style"/>
          <w:i/>
          <w:i/>
          <w:color w:val="FF0000"/>
          <w:sz w:val="22"/>
          <w:lang w:eastAsia="en-US"/>
        </w:rPr>
      </w:pPr>
      <w:r>
        <w:rPr>
          <w:rFonts w:cs="Bookman Old Style" w:ascii="Bookman Old Style" w:hAnsi="Bookman Old Style"/>
          <w:i/>
          <w:color w:val="FF0000"/>
          <w:sz w:val="22"/>
          <w:lang w:eastAsia="en-US"/>
        </w:rPr>
      </w:r>
    </w:p>
    <w:p>
      <w:pPr>
        <w:pStyle w:val="BodyText"/>
        <w:numPr>
          <w:ilvl w:val="0"/>
          <w:numId w:val="17"/>
        </w:numPr>
        <w:jc w:val="both"/>
        <w:rPr/>
      </w:pPr>
      <w:r>
        <w:rPr>
          <w:i/>
        </w:rPr>
        <w:t xml:space="preserve">i2 EBS Agreement. </w:t>
      </w:r>
      <w:r>
        <w:rPr/>
        <w:t>Participated in</w:t>
      </w:r>
      <w:r>
        <w:rPr>
          <w:i/>
        </w:rPr>
        <w:t xml:space="preserve"> s</w:t>
      </w:r>
      <w:r>
        <w:rPr/>
        <w:t>everal conference calls with regard to the implementation of the portion of the i2 transaction pertinent to India.  Participated in a conference call with i2's attorney who is conducting due diligence to explain the regulatory framework in India.  Conference call with Houston team to be sure they completely understand the service i2 will be getting in India.</w:t>
      </w:r>
      <w:r>
        <w:rPr>
          <w:i/>
        </w:rPr>
        <w:t xml:space="preserve"> </w:t>
      </w:r>
    </w:p>
    <w:p>
      <w:pPr>
        <w:pStyle w:val="BodyText"/>
        <w:jc w:val="both"/>
        <w:rPr/>
      </w:pPr>
      <w:r>
        <w:rPr/>
      </w:r>
    </w:p>
    <w:p>
      <w:pPr>
        <w:pStyle w:val="Normal"/>
        <w:numPr>
          <w:ilvl w:val="0"/>
          <w:numId w:val="4"/>
        </w:numPr>
        <w:rPr>
          <w:rFonts w:ascii="Bookman Old Style" w:hAnsi="Bookman Old Style" w:cs="Bookman Old Style"/>
          <w:sz w:val="22"/>
        </w:rPr>
      </w:pPr>
      <w:r>
        <w:rPr>
          <w:rFonts w:cs="Bookman Old Style" w:ascii="Bookman Old Style" w:hAnsi="Bookman Old Style"/>
          <w:i/>
          <w:color w:val="000000"/>
          <w:sz w:val="22"/>
          <w:lang w:eastAsia="en-US"/>
        </w:rPr>
        <w:t>Regulatory reporting by Data Centre.</w:t>
      </w:r>
      <w:r>
        <w:rPr>
          <w:rFonts w:cs="Bookman Old Style" w:ascii="Bookman Old Style" w:hAnsi="Bookman Old Style"/>
          <w:color w:val="000000"/>
          <w:sz w:val="22"/>
          <w:lang w:eastAsia="en-US"/>
        </w:rPr>
        <w:t xml:space="preserve"> Reviewed the license and outlined the regulatory reporting necessary by the Data Center.  Will coordinate implementation of the same to ensure that all reporting is up to date before the sale of the data center.</w:t>
      </w:r>
    </w:p>
    <w:p>
      <w:pPr>
        <w:pStyle w:val="Heading4"/>
        <w:ind w:hanging="0" w:start="0"/>
        <w:rPr>
          <w:rFonts w:ascii="Bookman Old Style" w:hAnsi="Bookman Old Style" w:cs="Bookman Old Style"/>
          <w:sz w:val="22"/>
        </w:rPr>
      </w:pPr>
      <w:r>
        <w:rPr>
          <w:rFonts w:cs="Bookman Old Style"/>
          <w:sz w:val="22"/>
        </w:rPr>
      </w:r>
    </w:p>
    <w:p>
      <w:pPr>
        <w:pStyle w:val="Heading4"/>
        <w:numPr>
          <w:ilvl w:val="0"/>
          <w:numId w:val="2"/>
        </w:numPr>
        <w:rPr>
          <w:i w:val="false"/>
          <w:i w:val="false"/>
          <w:lang w:eastAsia="en-US"/>
        </w:rPr>
      </w:pPr>
      <w:r>
        <w:rPr/>
        <w:t xml:space="preserve">FIPB approval for BSPL. </w:t>
      </w:r>
      <w:r>
        <w:rPr>
          <w:i w:val="false"/>
        </w:rPr>
        <w:t>Anthony has given green signal for the application. The draft application to FIPB and all the required board resolutions were discussed at length with Mr Bhaskar and Mr Piyush on 13</w:t>
      </w:r>
      <w:r>
        <w:rPr>
          <w:i w:val="false"/>
          <w:vertAlign w:val="superscript"/>
        </w:rPr>
        <w:t>th</w:t>
      </w:r>
      <w:r>
        <w:rPr>
          <w:i w:val="false"/>
        </w:rPr>
        <w:t xml:space="preserve"> and 14</w:t>
      </w:r>
      <w:r>
        <w:rPr>
          <w:i w:val="false"/>
          <w:vertAlign w:val="superscript"/>
        </w:rPr>
        <w:t>th</w:t>
      </w:r>
      <w:r>
        <w:rPr>
          <w:i w:val="false"/>
        </w:rPr>
        <w:t xml:space="preserve"> February. The final draft version has been circulated to the EBS team by Bhaskar on15</w:t>
      </w:r>
      <w:r>
        <w:rPr>
          <w:i w:val="false"/>
          <w:vertAlign w:val="superscript"/>
        </w:rPr>
        <w:t>th</w:t>
      </w:r>
      <w:r>
        <w:rPr>
          <w:i w:val="false"/>
        </w:rPr>
        <w:t xml:space="preserve"> Feb. Feedback is awaited from them.</w:t>
      </w:r>
    </w:p>
    <w:p>
      <w:pPr>
        <w:pStyle w:val="Normal"/>
        <w:rPr>
          <w:rFonts w:ascii="Bookman Old Style" w:hAnsi="Bookman Old Style" w:cs="Bookman Old Style"/>
          <w:i/>
          <w:i/>
          <w:sz w:val="22"/>
          <w:lang w:eastAsia="en-US"/>
        </w:rPr>
      </w:pPr>
      <w:r>
        <w:rPr>
          <w:rFonts w:cs="Bookman Old Style" w:ascii="Bookman Old Style" w:hAnsi="Bookman Old Style"/>
          <w:i/>
          <w:sz w:val="22"/>
          <w:lang w:eastAsia="en-US"/>
        </w:rPr>
      </w:r>
    </w:p>
    <w:p>
      <w:pPr>
        <w:pStyle w:val="Normal"/>
        <w:numPr>
          <w:ilvl w:val="0"/>
          <w:numId w:val="11"/>
        </w:numPr>
        <w:rPr>
          <w:rFonts w:ascii="Bookman Old Style" w:hAnsi="Bookman Old Style" w:cs="Bookman Old Style"/>
          <w:sz w:val="22"/>
        </w:rPr>
      </w:pPr>
      <w:r>
        <w:rPr>
          <w:rFonts w:cs="Bookman Old Style" w:ascii="Bookman Old Style" w:hAnsi="Bookman Old Style"/>
          <w:i/>
          <w:sz w:val="22"/>
        </w:rPr>
        <w:t xml:space="preserve">Amendment of BSPL ISP License. </w:t>
      </w:r>
      <w:r>
        <w:rPr>
          <w:rFonts w:cs="Bookman Old Style" w:ascii="Bookman Old Style" w:hAnsi="Bookman Old Style"/>
          <w:sz w:val="22"/>
        </w:rPr>
        <w:t>The structure of application and necessary board resolutions were discussed at length with Mr Bhaskar on 14t</w:t>
      </w:r>
      <w:r>
        <w:rPr>
          <w:rFonts w:cs="Bookman Old Style" w:ascii="Bookman Old Style" w:hAnsi="Bookman Old Style"/>
          <w:sz w:val="22"/>
          <w:vertAlign w:val="superscript"/>
        </w:rPr>
        <w:t xml:space="preserve">h </w:t>
      </w:r>
      <w:r>
        <w:rPr>
          <w:rFonts w:cs="Bookman Old Style" w:ascii="Bookman Old Style" w:hAnsi="Bookman Old Style"/>
          <w:sz w:val="22"/>
        </w:rPr>
        <w:t>Feb. The draft application has subsequently been circulated to the EBS team by Bhaskar on 15</w:t>
      </w:r>
      <w:r>
        <w:rPr>
          <w:rFonts w:cs="Bookman Old Style" w:ascii="Bookman Old Style" w:hAnsi="Bookman Old Style"/>
          <w:sz w:val="22"/>
          <w:vertAlign w:val="superscript"/>
        </w:rPr>
        <w:t>th</w:t>
      </w:r>
      <w:r>
        <w:rPr>
          <w:rFonts w:cs="Bookman Old Style" w:ascii="Bookman Old Style" w:hAnsi="Bookman Old Style"/>
          <w:sz w:val="22"/>
        </w:rPr>
        <w:t xml:space="preserve"> Feb.</w:t>
      </w:r>
    </w:p>
    <w:p>
      <w:pPr>
        <w:pStyle w:val="Normal"/>
        <w:spacing w:lineRule="atLeast" w:line="240"/>
        <w:jc w:val="both"/>
        <w:rPr>
          <w:rFonts w:ascii="Bookman Old Style" w:hAnsi="Bookman Old Style" w:cs="Bookman Old Style"/>
          <w:i/>
          <w:i/>
          <w:color w:val="FF0000"/>
          <w:sz w:val="22"/>
          <w:lang w:eastAsia="en-US"/>
        </w:rPr>
      </w:pPr>
      <w:r>
        <w:rPr>
          <w:rFonts w:cs="Bookman Old Style" w:ascii="Bookman Old Style" w:hAnsi="Bookman Old Style"/>
          <w:i/>
          <w:color w:val="FF0000"/>
          <w:sz w:val="22"/>
          <w:lang w:eastAsia="en-US"/>
        </w:rPr>
      </w:r>
    </w:p>
    <w:p>
      <w:pPr>
        <w:pStyle w:val="Heading2"/>
        <w:ind w:hanging="0" w:start="0"/>
        <w:jc w:val="both"/>
        <w:rPr>
          <w:rFonts w:ascii="Bookman Old Style" w:hAnsi="Bookman Old Style" w:cs="Bookman Old Style"/>
          <w:i/>
          <w:i/>
          <w:color w:val="FF0000"/>
          <w:sz w:val="22"/>
          <w:lang w:eastAsia="en-US"/>
        </w:rPr>
      </w:pPr>
      <w:r>
        <w:rPr>
          <w:rFonts w:cs="Bookman Old Style"/>
          <w:i/>
          <w:color w:val="FF0000"/>
          <w:sz w:val="22"/>
          <w:lang w:eastAsia="en-US"/>
        </w:rPr>
      </w:r>
    </w:p>
    <w:p>
      <w:pPr>
        <w:pStyle w:val="Subject"/>
        <w:rPr>
          <w:rFonts w:ascii="Times New Roman" w:hAnsi="Times New Roman" w:cs="Times New Roman"/>
          <w:sz w:val="22"/>
          <w:lang w:eastAsia="en-CA"/>
        </w:rPr>
      </w:pPr>
      <w:r>
        <w:rPr>
          <w:rFonts w:cs="Times New Roman" w:ascii="Times New Roman" w:hAnsi="Times New Roman"/>
          <w:sz w:val="22"/>
          <w:lang w:eastAsia="en-CA"/>
        </w:rPr>
      </w:r>
    </w:p>
    <w:sectPr>
      <w:headerReference w:type="default" r:id="rId3"/>
      <w:headerReference w:type="first" r:id="rId4"/>
      <w:footerReference w:type="default" r:id="rId5"/>
      <w:footerReference w:type="first" r:id="rId6"/>
      <w:type w:val="nextPage"/>
      <w:pgSz w:w="12240" w:h="15840"/>
      <w:pgMar w:left="1440" w:right="1530" w:gutter="0" w:header="720" w:top="1440" w:footer="360" w:bottom="126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740" w:leader="none"/>
      </w:tabs>
      <w:ind w:end="360"/>
      <w:rPr>
        <w:sz w:val="16"/>
      </w:rPr>
    </w:pPr>
    <w:r>
      <w:rPr>
        <w:b/>
        <w:sz w:val="16"/>
      </w:rPr>
      <w:tab/>
      <w:t>Respect</w:t>
      <w:tab/>
      <w:t>Integrity</w:t>
      <w:tab/>
      <w:t>Communication</w:t>
      <w:tab/>
      <w:t>Excellence</w:t>
      <w:tab/>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85090"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456.8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900" w:leader="none"/>
        <w:tab w:val="left" w:pos="3060" w:leader="none"/>
        <w:tab w:val="left" w:pos="5220" w:leader="none"/>
        <w:tab w:val="left" w:pos="7920" w:leader="none"/>
      </w:tabs>
      <w:rPr>
        <w:sz w:val="16"/>
      </w:rPr>
    </w:pPr>
    <w:r>
      <w:rPr>
        <w:b/>
        <w:sz w:val="16"/>
      </w:rPr>
      <w:tab/>
      <w:t>Respect</w:t>
      <w:tab/>
      <w:t>Integrity</w:t>
      <w:tab/>
      <w:t>Communication</w:t>
      <w:tab/>
      <w:t>Excellence</w:t>
      <w:tab/>
    </w:r>
  </w:p>
  <w:p>
    <w:pPr>
      <w:pStyle w:val="Footer"/>
      <w:tabs>
        <w:tab w:val="clear" w:pos="4320"/>
        <w:tab w:val="left" w:pos="3780" w:leader="none"/>
        <w:tab w:val="center" w:pos="7560" w:leader="none"/>
        <w:tab w:val="right" w:pos="8640" w:leader="none"/>
        <w:tab w:val="right" w:pos="10800" w:leader="none"/>
      </w:tabs>
      <w:rPr>
        <w:sz w:val="12"/>
      </w:rPr>
    </w:pPr>
    <w:r>
      <w:rPr>
        <w:sz w:val="12"/>
      </w:rPr>
    </w:r>
  </w:p>
  <w:p>
    <w:pPr>
      <w:pStyle w:val="Footer"/>
      <w:tabs>
        <w:tab w:val="clear" w:pos="4320"/>
        <w:tab w:val="clear" w:pos="8640"/>
        <w:tab w:val="right" w:pos="9360" w:leader="none"/>
      </w:tabs>
      <w:rPr>
        <w:sz w:val="16"/>
      </w:rPr>
    </w:pPr>
    <w:r>
      <w:rPr>
        <w:sz w:val="16"/>
      </w:rPr>
      <w:t>Form 000-469-E(7/92)</w:t>
      <w:tab/>
      <w:t>rab/word/sig_events/sig_082099.doc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pPr>
    <w:r>
      <w:rPr>
        <w:sz w:val="20"/>
      </w:rPr>
      <w:tab/>
      <w:tab/>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-275590</wp:posOffset>
              </wp:positionV>
              <wp:extent cx="3877310" cy="70104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104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2pt;mso-wrap-distance-left:9.35pt;mso-wrap-distance-right:9.35pt;mso-wrap-distance-top:0pt;mso-wrap-distance-bottom:0pt;margin-top:-21.7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abstractNum w:abstractNumId="3">
    <w:lvl w:ilvl="0">
      <w:start w:val="1"/>
      <w:numFmt w:val="bullet"/>
      <w:lvlText w:val=""/>
      <w:lvlJc w:val="start"/>
      <w:pPr>
        <w:tabs>
          <w:tab w:val="num" w:pos="360"/>
        </w:tabs>
        <w:ind w:start="360" w:hanging="360"/>
      </w:pPr>
      <w:rPr>
        <w:rFonts w:ascii="Symbol" w:hAnsi="Symbol" w:cs="Symbol" w:hint="default"/>
        <w:color w:val="auto"/>
      </w:rPr>
    </w:lvl>
  </w:abstractNum>
  <w:abstractNum w:abstractNumId="4">
    <w:lvl w:ilvl="0">
      <w:start w:val="1"/>
      <w:numFmt w:val="bullet"/>
      <w:lvlText w:val=""/>
      <w:lvlJc w:val="start"/>
      <w:pPr>
        <w:tabs>
          <w:tab w:val="num" w:pos="360"/>
        </w:tabs>
        <w:ind w:start="360" w:hanging="360"/>
      </w:pPr>
      <w:rPr>
        <w:rFonts w:ascii="Symbol" w:hAnsi="Symbol" w:cs="Symbol" w:hint="default"/>
        <w:color w:val="auto"/>
      </w:rPr>
    </w:lvl>
  </w:abstractNum>
  <w:abstractNum w:abstractNumId="5">
    <w:lvl w:ilvl="0">
      <w:start w:val="1"/>
      <w:numFmt w:val="bullet"/>
      <w:lvlText w:val=""/>
      <w:lvlJc w:val="start"/>
      <w:pPr>
        <w:tabs>
          <w:tab w:val="num" w:pos="360"/>
        </w:tabs>
        <w:ind w:start="360" w:hanging="360"/>
      </w:pPr>
      <w:rPr>
        <w:rFonts w:ascii="Symbol" w:hAnsi="Symbol" w:cs="Symbol" w:hint="default"/>
        <w:color w:val="auto"/>
      </w:rPr>
    </w:lvl>
  </w:abstractNum>
  <w:abstractNum w:abstractNumId="6">
    <w:lvl w:ilvl="0">
      <w:start w:val="1"/>
      <w:numFmt w:val="bullet"/>
      <w:lvlText w:val=""/>
      <w:lvlJc w:val="start"/>
      <w:pPr>
        <w:tabs>
          <w:tab w:val="num" w:pos="360"/>
        </w:tabs>
        <w:ind w:start="360" w:hanging="360"/>
      </w:pPr>
      <w:rPr>
        <w:rFonts w:ascii="Symbol" w:hAnsi="Symbol" w:cs="Symbol" w:hint="default"/>
        <w:color w:val="auto"/>
      </w:rPr>
    </w:lvl>
  </w:abstractNum>
  <w:abstractNum w:abstractNumId="7">
    <w:lvl w:ilvl="0">
      <w:start w:val="1"/>
      <w:numFmt w:val="bullet"/>
      <w:lvlText w:val=""/>
      <w:lvlJc w:val="start"/>
      <w:pPr>
        <w:tabs>
          <w:tab w:val="num" w:pos="360"/>
        </w:tabs>
        <w:ind w:start="360" w:hanging="360"/>
      </w:pPr>
      <w:rPr>
        <w:rFonts w:ascii="Symbol" w:hAnsi="Symbol" w:cs="Symbol" w:hint="default"/>
        <w:color w:val="auto"/>
      </w:rPr>
    </w:lvl>
  </w:abstractNum>
  <w:abstractNum w:abstractNumId="8">
    <w:lvl w:ilvl="0">
      <w:start w:val="1"/>
      <w:numFmt w:val="bullet"/>
      <w:lvlText w:val=""/>
      <w:lvlJc w:val="start"/>
      <w:pPr>
        <w:tabs>
          <w:tab w:val="num" w:pos="360"/>
        </w:tabs>
        <w:ind w:start="360" w:hanging="360"/>
      </w:pPr>
      <w:rPr>
        <w:rFonts w:ascii="Symbol" w:hAnsi="Symbol" w:cs="Symbol" w:hint="default"/>
        <w:color w:val="auto"/>
      </w:rPr>
    </w:lvl>
  </w:abstractNum>
  <w:abstractNum w:abstractNumId="9">
    <w:lvl w:ilvl="0">
      <w:start w:val="1"/>
      <w:numFmt w:val="bullet"/>
      <w:lvlText w:val=""/>
      <w:lvlJc w:val="start"/>
      <w:pPr>
        <w:tabs>
          <w:tab w:val="num" w:pos="360"/>
        </w:tabs>
        <w:ind w:start="360" w:hanging="360"/>
      </w:pPr>
      <w:rPr>
        <w:rFonts w:ascii="Symbol" w:hAnsi="Symbol" w:cs="Symbol" w:hint="default"/>
        <w:color w:val="auto"/>
      </w:rPr>
    </w:lvl>
  </w:abstractNum>
  <w:abstractNum w:abstractNumId="10">
    <w:lvl w:ilvl="0">
      <w:start w:val="1"/>
      <w:numFmt w:val="lowerLetter"/>
      <w:lvlText w:val="(%1)"/>
      <w:lvlJc w:val="start"/>
      <w:pPr>
        <w:tabs>
          <w:tab w:val="num" w:pos="720"/>
        </w:tabs>
        <w:ind w:start="720" w:hanging="360"/>
      </w:pPr>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color w:val="auto"/>
      </w:rPr>
    </w:lvl>
  </w:abstractNum>
  <w:abstractNum w:abstractNumId="13">
    <w:lvl w:ilvl="0">
      <w:start w:val="1"/>
      <w:numFmt w:val="bullet"/>
      <w:lvlText w:val=""/>
      <w:lvlJc w:val="start"/>
      <w:pPr>
        <w:tabs>
          <w:tab w:val="num" w:pos="360"/>
        </w:tabs>
        <w:ind w:start="360" w:hanging="360"/>
      </w:pPr>
      <w:rPr>
        <w:rFonts w:ascii="Symbol" w:hAnsi="Symbol" w:cs="Symbol" w:hint="default"/>
        <w:color w:val="auto"/>
      </w:rPr>
    </w:lvl>
  </w:abstractNum>
  <w:abstractNum w:abstractNumId="14">
    <w:lvl w:ilvl="0">
      <w:start w:val="1"/>
      <w:numFmt w:val="decimal"/>
      <w:lvlText w:val="%1."/>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Symbol" w:hAnsi="Symbol" w:cs="Symbol" w:hint="default"/>
        <w:color w:val="auto"/>
      </w:rPr>
    </w:lvl>
  </w:abstractNum>
  <w:abstractNum w:abstractNumId="16">
    <w:lvl w:ilvl="0">
      <w:start w:val="1"/>
      <w:numFmt w:val="bullet"/>
      <w:lvlText w:val=""/>
      <w:lvlJc w:val="start"/>
      <w:pPr>
        <w:tabs>
          <w:tab w:val="num" w:pos="360"/>
        </w:tabs>
        <w:ind w:start="360" w:hanging="360"/>
      </w:pPr>
      <w:rPr>
        <w:rFonts w:ascii="Symbol" w:hAnsi="Symbol" w:cs="Symbol" w:hint="default"/>
        <w:color w:val="auto"/>
      </w:rPr>
    </w:lvl>
  </w:abstractNum>
  <w:abstractNum w:abstractNumId="17">
    <w:lvl w:ilvl="0">
      <w:start w:val="1"/>
      <w:numFmt w:val="bullet"/>
      <w:lvlText w:val=""/>
      <w:lvlJc w:val="start"/>
      <w:pPr>
        <w:tabs>
          <w:tab w:val="num" w:pos="360"/>
        </w:tabs>
        <w:ind w:start="360" w:hanging="360"/>
      </w:pPr>
      <w:rPr>
        <w:rFonts w:ascii="Symbol" w:hAnsi="Symbol" w:cs="Symbol" w:hint="default"/>
        <w:color w:val="auto"/>
      </w:rPr>
    </w:lvl>
  </w:abstractNum>
  <w:abstractNum w:abstractNumId="18">
    <w:lvl w:ilvl="0">
      <w:start w:val="1"/>
      <w:numFmt w:val="bullet"/>
      <w:lvlText w:val=""/>
      <w:lvlJc w:val="start"/>
      <w:pPr>
        <w:tabs>
          <w:tab w:val="num" w:pos="360"/>
        </w:tabs>
        <w:ind w:start="360" w:hanging="360"/>
      </w:pPr>
      <w:rPr>
        <w:rFonts w:ascii="Symbol" w:hAnsi="Symbol" w:cs="Symbol" w:hint="default"/>
        <w:color w:val="auto"/>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Bookman Old Style" w:hAnsi="Bookman Old Style" w:cs="Bookman Old Style"/>
      <w:b/>
      <w:color w:val="000000"/>
      <w:sz w:val="24"/>
      <w:lang w:eastAsia="en-US"/>
    </w:rPr>
  </w:style>
  <w:style w:type="paragraph" w:styleId="Heading2">
    <w:name w:val="heading 2"/>
    <w:basedOn w:val="Normal"/>
    <w:next w:val="Normal"/>
    <w:qFormat/>
    <w:pPr>
      <w:keepNext w:val="true"/>
      <w:numPr>
        <w:ilvl w:val="1"/>
        <w:numId w:val="1"/>
      </w:numPr>
      <w:spacing w:lineRule="atLeast" w:line="240"/>
      <w:outlineLvl w:val="1"/>
    </w:pPr>
    <w:rPr>
      <w:rFonts w:ascii="Bookman Old Style" w:hAnsi="Bookman Old Style" w:cs="Bookman Old Style"/>
      <w:b/>
      <w:sz w:val="22"/>
      <w:lang w:eastAsia="en-US"/>
    </w:rPr>
  </w:style>
  <w:style w:type="paragraph" w:styleId="Heading3">
    <w:name w:val="heading 3"/>
    <w:basedOn w:val="Normal"/>
    <w:next w:val="Normal"/>
    <w:qFormat/>
    <w:pPr>
      <w:keepNext w:val="true"/>
      <w:numPr>
        <w:ilvl w:val="2"/>
        <w:numId w:val="1"/>
      </w:numPr>
      <w:spacing w:lineRule="atLeast" w:line="240"/>
      <w:outlineLvl w:val="2"/>
    </w:pPr>
    <w:rPr>
      <w:rFonts w:ascii="Helv;Arial" w:hAnsi="Helv;Arial" w:cs="Helv;Arial"/>
      <w:i/>
      <w:color w:val="000000"/>
      <w:lang w:eastAsia="en-US"/>
    </w:rPr>
  </w:style>
  <w:style w:type="paragraph" w:styleId="Heading4">
    <w:name w:val="heading 4"/>
    <w:basedOn w:val="Normal"/>
    <w:next w:val="Normal"/>
    <w:qFormat/>
    <w:pPr>
      <w:keepNext w:val="true"/>
      <w:numPr>
        <w:ilvl w:val="3"/>
        <w:numId w:val="1"/>
      </w:numPr>
      <w:spacing w:lineRule="atLeast" w:line="240"/>
      <w:jc w:val="both"/>
      <w:outlineLvl w:val="3"/>
    </w:pPr>
    <w:rPr>
      <w:rFonts w:ascii="Bookman Old Style" w:hAnsi="Bookman Old Style" w:cs="Bookman Old Style"/>
      <w:i/>
      <w:sz w:val="22"/>
    </w:rPr>
  </w:style>
  <w:style w:type="character" w:styleId="WW8Num1z0">
    <w:name w:val="WW8Num1z0"/>
    <w:qFormat/>
    <w:rPr>
      <w:rFonts w:ascii="Symbol" w:hAnsi="Symbol" w:cs="Symbol"/>
      <w:color w:val="auto"/>
    </w:rPr>
  </w:style>
  <w:style w:type="character" w:styleId="WW8Num2z0">
    <w:name w:val="WW8Num2z0"/>
    <w:qFormat/>
    <w:rPr>
      <w:rFonts w:ascii="Symbol" w:hAnsi="Symbol" w:cs="Symbol"/>
      <w:color w:val="auto"/>
    </w:rPr>
  </w:style>
  <w:style w:type="character" w:styleId="WW8Num3z0">
    <w:name w:val="WW8Num3z0"/>
    <w:qFormat/>
    <w:rPr>
      <w:rFonts w:ascii="Symbol" w:hAnsi="Symbol" w:cs="Symbol"/>
      <w:color w:val="auto"/>
    </w:rPr>
  </w:style>
  <w:style w:type="character" w:styleId="WW8Num4z0">
    <w:name w:val="WW8Num4z0"/>
    <w:qFormat/>
    <w:rPr>
      <w:rFonts w:ascii="Symbol" w:hAnsi="Symbol" w:cs="Symbol"/>
      <w:color w:val="auto"/>
    </w:rPr>
  </w:style>
  <w:style w:type="character" w:styleId="WW8Num5z0">
    <w:name w:val="WW8Num5z0"/>
    <w:qFormat/>
    <w:rPr>
      <w:rFonts w:ascii="Symbol" w:hAnsi="Symbol" w:cs="Symbol"/>
      <w:color w:val="auto"/>
    </w:rPr>
  </w:style>
  <w:style w:type="character" w:styleId="WW8Num6z0">
    <w:name w:val="WW8Num6z0"/>
    <w:qFormat/>
    <w:rPr>
      <w:rFonts w:ascii="Symbol" w:hAnsi="Symbol" w:cs="Symbol"/>
      <w:color w:val="auto"/>
    </w:rPr>
  </w:style>
  <w:style w:type="character" w:styleId="WW8Num7z0">
    <w:name w:val="WW8Num7z0"/>
    <w:qFormat/>
    <w:rPr>
      <w:rFonts w:ascii="Symbol" w:hAnsi="Symbol" w:cs="Symbol"/>
      <w:color w:val="auto"/>
    </w:rPr>
  </w:style>
  <w:style w:type="character" w:styleId="WW8Num8z0">
    <w:name w:val="WW8Num8z0"/>
    <w:qFormat/>
    <w:rPr>
      <w:rFonts w:ascii="Symbol" w:hAnsi="Symbol" w:cs="Symbol"/>
      <w:color w:val="auto"/>
    </w:rPr>
  </w:style>
  <w:style w:type="character" w:styleId="WW8Num9z0">
    <w:name w:val="WW8Num9z0"/>
    <w:qFormat/>
    <w:rPr>
      <w:rFonts w:ascii="Symbol" w:hAnsi="Symbol" w:cs="Symbol"/>
      <w:color w:val="auto"/>
    </w:rPr>
  </w:style>
  <w:style w:type="character" w:styleId="WW8Num10z0">
    <w:name w:val="WW8Num10z0"/>
    <w:qFormat/>
    <w:rPr>
      <w:rFonts w:ascii="Symbol" w:hAnsi="Symbol" w:cs="Symbol"/>
      <w:color w:val="auto"/>
    </w:rPr>
  </w:style>
  <w:style w:type="character" w:styleId="WW8Num11z0">
    <w:name w:val="WW8Num11z0"/>
    <w:qFormat/>
    <w:rPr>
      <w:rFonts w:ascii="Symbol" w:hAnsi="Symbol" w:cs="Symbol"/>
      <w:color w:val="auto"/>
    </w:rPr>
  </w:style>
  <w:style w:type="character" w:styleId="WW8Num12z0">
    <w:name w:val="WW8Num12z0"/>
    <w:qFormat/>
    <w:rPr>
      <w:rFonts w:ascii="Symbol" w:hAnsi="Symbol" w:cs="Symbol"/>
      <w:color w:val="auto"/>
    </w:rPr>
  </w:style>
  <w:style w:type="character" w:styleId="WW8Num13z0">
    <w:name w:val="WW8Num13z0"/>
    <w:qFormat/>
    <w:rPr>
      <w:rFonts w:ascii="Symbol" w:hAnsi="Symbol" w:cs="Symbol"/>
      <w:color w:val="auto"/>
    </w:rPr>
  </w:style>
  <w:style w:type="character" w:styleId="WW8Num14z0">
    <w:name w:val="WW8Num14z0"/>
    <w:qFormat/>
    <w:rPr>
      <w:rFonts w:ascii="Symbol" w:hAnsi="Symbol" w:cs="Symbol"/>
      <w:color w:val="auto"/>
    </w:rPr>
  </w:style>
  <w:style w:type="character" w:styleId="WW8Num15z0">
    <w:name w:val="WW8Num15z0"/>
    <w:qFormat/>
    <w:rPr>
      <w:rFonts w:ascii="Symbol" w:hAnsi="Symbol" w:cs="Symbol"/>
      <w:color w:val="auto"/>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color w:val="auto"/>
    </w:rPr>
  </w:style>
  <w:style w:type="character" w:styleId="WW8Num18z0">
    <w:name w:val="WW8Num18z0"/>
    <w:qFormat/>
    <w:rPr>
      <w:rFonts w:ascii="Symbol" w:hAnsi="Symbol" w:cs="Symbol"/>
      <w:color w:val="auto"/>
    </w:rPr>
  </w:style>
  <w:style w:type="character" w:styleId="WW8Num19z0">
    <w:name w:val="WW8Num19z0"/>
    <w:qFormat/>
    <w:rPr>
      <w:rFonts w:ascii="Symbol" w:hAnsi="Symbol" w:cs="Symbol"/>
      <w:color w:val="auto"/>
    </w:rPr>
  </w:style>
  <w:style w:type="character" w:styleId="WW8Num20z0">
    <w:name w:val="WW8Num20z0"/>
    <w:qFormat/>
    <w:rPr>
      <w:rFonts w:ascii="Symbol" w:hAnsi="Symbol" w:cs="Symbol"/>
      <w:color w:val="auto"/>
    </w:rPr>
  </w:style>
  <w:style w:type="character" w:styleId="WW8Num21z0">
    <w:name w:val="WW8Num21z0"/>
    <w:qFormat/>
    <w:rPr/>
  </w:style>
  <w:style w:type="character" w:styleId="WW8Num22z0">
    <w:name w:val="WW8Num22z0"/>
    <w:qFormat/>
    <w:rPr>
      <w:rFonts w:ascii="Symbol" w:hAnsi="Symbol" w:cs="Symbol"/>
      <w:color w:val="auto"/>
    </w:rPr>
  </w:style>
  <w:style w:type="character" w:styleId="WW8Num23z0">
    <w:name w:val="WW8Num23z0"/>
    <w:qFormat/>
    <w:rPr>
      <w:rFonts w:ascii="Symbol" w:hAnsi="Symbol" w:cs="Symbol"/>
      <w:color w:val="auto"/>
    </w:rPr>
  </w:style>
  <w:style w:type="character" w:styleId="WW8Num24z0">
    <w:name w:val="WW8Num24z0"/>
    <w:qFormat/>
    <w:rPr>
      <w:rFonts w:ascii="Symbol" w:hAnsi="Symbol" w:cs="Symbol"/>
      <w:color w:val="auto"/>
    </w:rPr>
  </w:style>
  <w:style w:type="character" w:styleId="WW8Num25z0">
    <w:name w:val="WW8Num25z0"/>
    <w:qFormat/>
    <w:rPr>
      <w:rFonts w:ascii="Symbol" w:hAnsi="Symbol" w:cs="Symbol"/>
      <w:color w:val="auto"/>
    </w:rPr>
  </w:style>
  <w:style w:type="character" w:styleId="WW8Num26z0">
    <w:name w:val="WW8Num26z0"/>
    <w:qFormat/>
    <w:rPr>
      <w:rFonts w:ascii="Symbol" w:hAnsi="Symbol" w:cs="Symbol"/>
      <w:color w:val="auto"/>
    </w:rPr>
  </w:style>
  <w:style w:type="character" w:styleId="WW8Num28z0">
    <w:name w:val="WW8Num28z0"/>
    <w:qFormat/>
    <w:rPr>
      <w:rFonts w:ascii="Symbol" w:hAnsi="Symbol" w:cs="Symbol"/>
      <w:color w:val="auto"/>
    </w:rPr>
  </w:style>
  <w:style w:type="character" w:styleId="WW8Num30z0">
    <w:name w:val="WW8Num30z0"/>
    <w:qFormat/>
    <w:rPr>
      <w:rFonts w:ascii="Symbol" w:hAnsi="Symbol" w:cs="Symbol"/>
      <w:color w:val="auto"/>
    </w:rPr>
  </w:style>
  <w:style w:type="character" w:styleId="WW8Num31z0">
    <w:name w:val="WW8Num31z0"/>
    <w:qFormat/>
    <w:rPr>
      <w:rFonts w:ascii="Symbol" w:hAnsi="Symbol" w:cs="Symbol"/>
      <w:color w:val="auto"/>
    </w:rPr>
  </w:style>
  <w:style w:type="character" w:styleId="WW8Num32z0">
    <w:name w:val="WW8Num32z0"/>
    <w:qFormat/>
    <w:rPr>
      <w:rFonts w:ascii="Symbol" w:hAnsi="Symbol" w:cs="Symbol"/>
      <w:color w:val="auto"/>
    </w:rPr>
  </w:style>
  <w:style w:type="character" w:styleId="WW8Num33z0">
    <w:name w:val="WW8Num33z0"/>
    <w:qFormat/>
    <w:rPr>
      <w:rFonts w:ascii="Symbol" w:hAnsi="Symbol" w:cs="Symbol"/>
      <w:color w:val="auto"/>
    </w:rPr>
  </w:style>
  <w:style w:type="character" w:styleId="WW8Num34z0">
    <w:name w:val="WW8Num34z0"/>
    <w:qFormat/>
    <w:rPr>
      <w:rFonts w:ascii="Symbol" w:hAnsi="Symbol" w:cs="Symbol"/>
      <w:color w:val="auto"/>
    </w:rPr>
  </w:style>
  <w:style w:type="character" w:styleId="WW8Num35z0">
    <w:name w:val="WW8Num35z0"/>
    <w:qFormat/>
    <w:rPr>
      <w:rFonts w:ascii="Symbol" w:hAnsi="Symbol" w:cs="Symbol"/>
    </w:rPr>
  </w:style>
  <w:style w:type="character" w:styleId="WW8Num36z0">
    <w:name w:val="WW8Num36z0"/>
    <w:qFormat/>
    <w:rPr>
      <w:rFonts w:ascii="Symbol" w:hAnsi="Symbol" w:cs="Symbol"/>
      <w:color w:val="auto"/>
    </w:rPr>
  </w:style>
  <w:style w:type="character" w:styleId="WW8Num37z0">
    <w:name w:val="WW8Num37z0"/>
    <w:qFormat/>
    <w:rPr>
      <w:rFonts w:ascii="Symbol" w:hAnsi="Symbol" w:cs="Symbol"/>
      <w:color w:val="auto"/>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lang w:eastAsia="en-US"/>
    </w:rPr>
  </w:style>
  <w:style w:type="paragraph" w:styleId="BodyText">
    <w:name w:val="Body Text"/>
    <w:basedOn w:val="Normal"/>
    <w:pPr>
      <w:spacing w:lineRule="atLeast" w:line="240"/>
    </w:pPr>
    <w:rPr>
      <w:rFonts w:ascii="Bookman Old Style" w:hAnsi="Bookman Old Style" w:cs="Bookman Old Style"/>
      <w:color w:val="000000"/>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sz w:val="24"/>
      <w:lang w:eastAsia="en-US"/>
    </w:rPr>
  </w:style>
  <w:style w:type="paragraph" w:styleId="Header">
    <w:name w:val="header"/>
    <w:basedOn w:val="Normal"/>
    <w:pPr>
      <w:tabs>
        <w:tab w:val="clear" w:pos="720"/>
        <w:tab w:val="center" w:pos="4320" w:leader="none"/>
        <w:tab w:val="right" w:pos="8640" w:leader="none"/>
      </w:tabs>
    </w:pPr>
    <w:rPr>
      <w:rFonts w:ascii="Arial" w:hAnsi="Arial" w:cs="Arial"/>
      <w:sz w:val="24"/>
      <w:lang w:eastAsia="en-US"/>
    </w:rPr>
  </w:style>
  <w:style w:type="paragraph" w:styleId="Subject">
    <w:name w:val="Subject"/>
    <w:basedOn w:val="Normal"/>
    <w:qFormat/>
    <w:pPr/>
    <w:rPr>
      <w:rFonts w:ascii="Arial" w:hAnsi="Arial" w:cs="Arial"/>
      <w:lang w:eastAsia="en-US"/>
    </w:rPr>
  </w:style>
  <w:style w:type="paragraph" w:styleId="Date">
    <w:name w:val="Date"/>
    <w:basedOn w:val="Normal"/>
    <w:qFormat/>
    <w:pPr/>
    <w:rPr>
      <w:rFonts w:ascii="Arial" w:hAnsi="Arial" w:cs="Arial"/>
      <w:lang w:eastAsia="en-US"/>
    </w:rPr>
  </w:style>
  <w:style w:type="paragraph" w:styleId="To">
    <w:name w:val="To"/>
    <w:basedOn w:val="Normal"/>
    <w:qFormat/>
    <w:pPr/>
    <w:rPr>
      <w:rFonts w:ascii="Arial" w:hAnsi="Arial" w:cs="Arial"/>
      <w:lang w:eastAsia="en-US"/>
    </w:rPr>
  </w:style>
  <w:style w:type="paragraph" w:styleId="From">
    <w:name w:val="From"/>
    <w:basedOn w:val="Normal"/>
    <w:qFormat/>
    <w:pPr/>
    <w:rPr>
      <w:rFonts w:ascii="Arial" w:hAnsi="Arial" w:cs="Arial"/>
      <w:lang w:eastAsia="en-US"/>
    </w:rPr>
  </w:style>
  <w:style w:type="paragraph" w:styleId="Body">
    <w:name w:val="Body"/>
    <w:basedOn w:val="Normal"/>
    <w:qFormat/>
    <w:pPr>
      <w:ind w:hanging="0" w:start="72" w:end="0"/>
    </w:pPr>
    <w:rPr>
      <w:rFonts w:ascii="Arial" w:hAnsi="Arial" w:cs="Arial"/>
      <w:color w:val="000080"/>
      <w:lang w:eastAsia="en-US"/>
    </w:rPr>
  </w:style>
  <w:style w:type="paragraph" w:styleId="Department">
    <w:name w:val="Department"/>
    <w:basedOn w:val="Normal"/>
    <w:qFormat/>
    <w:pPr/>
    <w:rPr>
      <w:rFonts w:ascii="Arial" w:hAnsi="Arial" w:cs="Arial"/>
      <w:lang w:eastAsia="en-US"/>
    </w:rPr>
  </w:style>
  <w:style w:type="paragraph" w:styleId="BodyText2">
    <w:name w:val="Body Text 2"/>
    <w:basedOn w:val="Normal"/>
    <w:qFormat/>
    <w:pPr>
      <w:spacing w:lineRule="exact" w:line="240" w:before="120" w:after="120"/>
    </w:pPr>
    <w:rPr>
      <w:rFonts w:ascii="Bookman Old Style" w:hAnsi="Bookman Old Style" w:cs="Bookman Old Style"/>
      <w:sz w:val="22"/>
    </w:rPr>
  </w:style>
  <w:style w:type="paragraph" w:styleId="BodyTextIndent">
    <w:name w:val="Body Text Indent"/>
    <w:basedOn w:val="Normal"/>
    <w:pPr>
      <w:spacing w:lineRule="atLeast" w:line="240"/>
      <w:ind w:hanging="0" w:start="360" w:end="0"/>
    </w:pPr>
    <w:rPr>
      <w:rFonts w:ascii="Bookman Old Style" w:hAnsi="Bookman Old Style" w:cs="Bookman Old Style"/>
      <w:color w:val="0000FF"/>
      <w:sz w:val="22"/>
      <w:lang w:eastAsia="en-US"/>
    </w:rPr>
  </w:style>
  <w:style w:type="paragraph" w:styleId="BodyTextIndent2">
    <w:name w:val="Body Text Indent 2"/>
    <w:basedOn w:val="Normal"/>
    <w:qFormat/>
    <w:pPr>
      <w:ind w:hanging="720" w:start="720" w:end="0"/>
    </w:pPr>
    <w:rPr>
      <w:rFonts w:ascii="Bookman Old Style" w:hAnsi="Bookman Old Style" w:cs="Bookman Old Style"/>
      <w:sz w:val="22"/>
    </w:rPr>
  </w:style>
  <w:style w:type="paragraph" w:styleId="BodyTextIndent3">
    <w:name w:val="Body Text Indent 3"/>
    <w:basedOn w:val="Normal"/>
    <w:qFormat/>
    <w:pPr>
      <w:ind w:hanging="0" w:start="360" w:end="0"/>
      <w:jc w:val="both"/>
    </w:pPr>
    <w:rPr>
      <w:rFonts w:ascii="Bookman Old Style" w:hAnsi="Bookman Old Style" w:cs="Bookman Old Style"/>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2001-02-14T08:32:00Z</dcterms:created>
  <dc:creator>EIPL-MUM-NG13</dc:creator>
  <dc:description/>
  <dc:language>en-CA</dc:language>
  <cp:lastModifiedBy>Enron Technology</cp:lastModifiedBy>
  <cp:lastPrinted>2001-02-14T18:21:00Z</cp:lastPrinted>
  <dcterms:modified xsi:type="dcterms:W3CDTF">2001-02-26T08:20:00Z</dcterms:modified>
  <cp:revision>31</cp:revision>
  <dc:subject/>
  <dc:title> </dc:title>
</cp:coreProperties>
</file>