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rFonts w:ascii="Times New Roman" w:hAnsi="Times New Roman" w:cs="Times New Roman"/>
          <w:sz w:val="22"/>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440" w:type="dxa"/>
        <w:jc w:val="start"/>
        <w:tblInd w:w="-522" w:type="dxa"/>
        <w:tblLayout w:type="fixed"/>
        <w:tblCellMar>
          <w:top w:w="0" w:type="dxa"/>
          <w:start w:w="108" w:type="dxa"/>
          <w:bottom w:w="0" w:type="dxa"/>
          <w:end w:w="108" w:type="dxa"/>
        </w:tblCellMar>
      </w:tblPr>
      <w:tblGrid>
        <w:gridCol w:w="1260"/>
        <w:gridCol w:w="4860"/>
        <w:gridCol w:w="1708"/>
        <w:gridCol w:w="2612"/>
      </w:tblGrid>
      <w:tr>
        <w:trPr>
          <w:trHeight w:val="300" w:hRule="exact"/>
        </w:trPr>
        <w:tc>
          <w:tcPr>
            <w:tcW w:w="1260" w:type="dxa"/>
            <w:tcBorders/>
          </w:tcPr>
          <w:p>
            <w:pPr>
              <w:pStyle w:val="Normal"/>
              <w:spacing w:before="20" w:after="0"/>
              <w:ind w:firstLine="90" w:start="-18" w:end="0"/>
              <w:jc w:val="both"/>
              <w:rPr>
                <w:rFonts w:ascii="Bookman Old Style" w:hAnsi="Bookman Old Style" w:cs="Bookman Old Style"/>
                <w:sz w:val="22"/>
              </w:rPr>
            </w:pPr>
            <w:r>
              <w:rPr>
                <w:rFonts w:cs="Bookman Old Style" w:ascii="Bookman Old Style" w:hAnsi="Bookman Old Style"/>
                <w:sz w:val="22"/>
              </w:rPr>
              <w:t>To:</w:t>
            </w:r>
          </w:p>
        </w:tc>
        <w:tc>
          <w:tcPr>
            <w:tcW w:w="4860" w:type="dxa"/>
            <w:tcBorders/>
          </w:tcPr>
          <w:p>
            <w:pPr>
              <w:pStyle w:val="To"/>
              <w:jc w:val="both"/>
              <w:rPr>
                <w:rFonts w:ascii="Bookman Old Style" w:hAnsi="Bookman Old Style" w:cs="Bookman Old Style"/>
                <w:sz w:val="22"/>
              </w:rPr>
            </w:pPr>
            <w:bookmarkStart w:id="0" w:name="to"/>
            <w:bookmarkEnd w:id="0"/>
            <w:r>
              <w:rPr>
                <w:rFonts w:cs="Bookman Old Style" w:ascii="Bookman Old Style" w:hAnsi="Bookman Old Style"/>
                <w:sz w:val="22"/>
              </w:rPr>
              <w:t>Wade Cline</w:t>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216" w:hRule="exact"/>
        </w:trPr>
        <w:tc>
          <w:tcPr>
            <w:tcW w:w="1260" w:type="dxa"/>
            <w:tcBorders/>
          </w:tcPr>
          <w:p>
            <w:pPr>
              <w:pStyle w:val="Normal"/>
              <w:snapToGrid w:val="false"/>
              <w:spacing w:before="20" w:after="0"/>
              <w:ind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300" w:hRule="exact"/>
        </w:trPr>
        <w:tc>
          <w:tcPr>
            <w:tcW w:w="1260" w:type="dxa"/>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From:</w:t>
            </w:r>
          </w:p>
        </w:tc>
        <w:tc>
          <w:tcPr>
            <w:tcW w:w="4860" w:type="dxa"/>
            <w:tcBorders/>
          </w:tcPr>
          <w:p>
            <w:pPr>
              <w:pStyle w:val="From"/>
              <w:jc w:val="both"/>
              <w:rPr>
                <w:rFonts w:ascii="Bookman Old Style" w:hAnsi="Bookman Old Style" w:cs="Bookman Old Style"/>
                <w:sz w:val="22"/>
              </w:rPr>
            </w:pPr>
            <w:r>
              <w:rPr>
                <w:rFonts w:cs="Bookman Old Style" w:ascii="Bookman Old Style" w:hAnsi="Bookman Old Style"/>
                <w:sz w:val="22"/>
              </w:rPr>
              <w:t>Jane Wilson</w:t>
            </w:r>
          </w:p>
        </w:tc>
        <w:tc>
          <w:tcPr>
            <w:tcW w:w="1708" w:type="dxa"/>
            <w:tcBorders/>
          </w:tcPr>
          <w:p>
            <w:pPr>
              <w:pStyle w:val="Normal"/>
              <w:spacing w:before="20" w:after="0"/>
              <w:ind w:firstLine="184" w:start="-202" w:end="0"/>
              <w:jc w:val="both"/>
              <w:rPr>
                <w:rFonts w:ascii="Bookman Old Style" w:hAnsi="Bookman Old Style" w:cs="Bookman Old Style"/>
                <w:sz w:val="22"/>
              </w:rPr>
            </w:pPr>
            <w:r>
              <w:rPr>
                <w:rFonts w:cs="Bookman Old Style" w:ascii="Bookman Old Style" w:hAnsi="Bookman Old Style"/>
                <w:sz w:val="22"/>
              </w:rPr>
              <w:t>Department:</w:t>
            </w:r>
          </w:p>
        </w:tc>
        <w:tc>
          <w:tcPr>
            <w:tcW w:w="2612" w:type="dxa"/>
            <w:tcBorders/>
          </w:tcPr>
          <w:p>
            <w:pPr>
              <w:pStyle w:val="Department"/>
              <w:jc w:val="both"/>
              <w:rPr>
                <w:rFonts w:ascii="Bookman Old Style" w:hAnsi="Bookman Old Style" w:cs="Bookman Old Style"/>
                <w:sz w:val="22"/>
              </w:rPr>
            </w:pPr>
            <w:bookmarkStart w:id="1" w:name="From"/>
            <w:bookmarkEnd w:id="1"/>
            <w:r>
              <w:rPr>
                <w:rFonts w:cs="Bookman Old Style" w:ascii="Bookman Old Style" w:hAnsi="Bookman Old Style"/>
                <w:sz w:val="22"/>
              </w:rPr>
              <w:t>Regulatory Affairs</w:t>
            </w:r>
          </w:p>
        </w:tc>
      </w:tr>
      <w:tr>
        <w:trPr>
          <w:trHeight w:val="216" w:hRule="exact"/>
        </w:trPr>
        <w:tc>
          <w:tcPr>
            <w:tcW w:w="1260" w:type="dxa"/>
            <w:tcBorders/>
          </w:tcPr>
          <w:p>
            <w:pPr>
              <w:pStyle w:val="Normal"/>
              <w:snapToGrid w:val="false"/>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r>
          </w:p>
        </w:tc>
        <w:tc>
          <w:tcPr>
            <w:tcW w:w="486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08"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612"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576" w:hRule="exact"/>
        </w:trPr>
        <w:tc>
          <w:tcPr>
            <w:tcW w:w="1260" w:type="dxa"/>
            <w:tcBorders>
              <w:bottom w:val="single" w:sz="18" w:space="0" w:color="000000"/>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Subject:</w:t>
            </w:r>
          </w:p>
        </w:tc>
        <w:tc>
          <w:tcPr>
            <w:tcW w:w="4860" w:type="dxa"/>
            <w:tcBorders>
              <w:bottom w:val="single" w:sz="18" w:space="0" w:color="000000"/>
            </w:tcBorders>
          </w:tcPr>
          <w:p>
            <w:pPr>
              <w:pStyle w:val="Subject"/>
              <w:jc w:val="both"/>
              <w:rPr>
                <w:rFonts w:ascii="Bookman Old Style" w:hAnsi="Bookman Old Style" w:cs="Bookman Old Style"/>
                <w:sz w:val="22"/>
              </w:rPr>
            </w:pPr>
            <w:bookmarkStart w:id="2" w:name="Subject"/>
            <w:bookmarkEnd w:id="2"/>
            <w:r>
              <w:rPr>
                <w:rFonts w:cs="Bookman Old Style" w:ascii="Bookman Old Style" w:hAnsi="Bookman Old Style"/>
                <w:sz w:val="22"/>
              </w:rPr>
              <w:t>Significant Events for December first fortnight</w:t>
            </w:r>
          </w:p>
        </w:tc>
        <w:tc>
          <w:tcPr>
            <w:tcW w:w="1708" w:type="dxa"/>
            <w:tcBorders>
              <w:bottom w:val="single" w:sz="18" w:space="0" w:color="000000"/>
            </w:tcBorders>
          </w:tcPr>
          <w:p>
            <w:pPr>
              <w:pStyle w:val="Normal"/>
              <w:spacing w:before="20" w:after="0"/>
              <w:ind w:firstLine="202" w:start="-202" w:end="0"/>
              <w:jc w:val="both"/>
              <w:rPr>
                <w:rFonts w:ascii="Bookman Old Style" w:hAnsi="Bookman Old Style" w:cs="Bookman Old Style"/>
                <w:sz w:val="22"/>
              </w:rPr>
            </w:pPr>
            <w:r>
              <w:rPr>
                <w:rFonts w:cs="Bookman Old Style" w:ascii="Bookman Old Style" w:hAnsi="Bookman Old Style"/>
                <w:sz w:val="22"/>
              </w:rPr>
              <w:t>Date:</w:t>
            </w:r>
          </w:p>
        </w:tc>
        <w:tc>
          <w:tcPr>
            <w:tcW w:w="2612" w:type="dxa"/>
            <w:tcBorders>
              <w:bottom w:val="single" w:sz="18" w:space="0" w:color="000000"/>
            </w:tcBorders>
          </w:tcPr>
          <w:p>
            <w:pPr>
              <w:pStyle w:val="Date"/>
              <w:jc w:val="both"/>
              <w:rPr>
                <w:rFonts w:ascii="Bookman Old Style" w:hAnsi="Bookman Old Style" w:cs="Bookman Old Style"/>
                <w:sz w:val="22"/>
              </w:rPr>
            </w:pPr>
            <w:r>
              <w:rPr>
                <w:rFonts w:cs="Bookman Old Style" w:ascii="Bookman Old Style" w:hAnsi="Bookman Old Style"/>
                <w:sz w:val="22"/>
              </w:rPr>
              <w:t>December 13, 2000</w:t>
            </w:r>
          </w:p>
        </w:tc>
      </w:tr>
    </w:tbl>
    <w:p>
      <w:pPr>
        <w:pStyle w:val="Body"/>
        <w:ind w:start="0" w:end="0"/>
        <w:jc w:val="both"/>
        <w:rPr>
          <w:rFonts w:ascii="Times New Roman" w:hAnsi="Times New Roman" w:cs="Times New Roman"/>
          <w:color w:val="000000"/>
          <w:sz w:val="22"/>
        </w:rPr>
      </w:pPr>
      <w:r>
        <w:rPr>
          <w:rFonts w:cs="Times New Roman" w:ascii="Times New Roman" w:hAnsi="Times New Roman"/>
          <w:color w:val="000000"/>
          <w:sz w:val="22"/>
        </w:rPr>
      </w:r>
      <w:bookmarkStart w:id="3" w:name="StartOfMemo"/>
      <w:bookmarkStart w:id="4" w:name="StartOfMemo"/>
      <w:bookmarkEnd w:id="4"/>
    </w:p>
    <w:p>
      <w:pPr>
        <w:pStyle w:val="Heading1"/>
        <w:ind w:hanging="0" w:start="0"/>
        <w:jc w:val="both"/>
        <w:rPr>
          <w:b w:val="false"/>
          <w:sz w:val="22"/>
        </w:rPr>
      </w:pPr>
      <w:r>
        <w:rPr>
          <w:b w:val="false"/>
          <w:sz w:val="22"/>
        </w:rPr>
        <w:t>Below are the activities of the Government and Regulatory Affairs group for the first fortnight of December, 2000:</w:t>
      </w:r>
    </w:p>
    <w:p>
      <w:pPr>
        <w:pStyle w:val="Heading1"/>
        <w:ind w:hanging="0" w:start="0"/>
        <w:jc w:val="both"/>
        <w:rPr>
          <w:b w:val="false"/>
          <w:sz w:val="22"/>
        </w:rPr>
      </w:pPr>
      <w:r>
        <w:rPr>
          <w:b w:val="false"/>
          <w:sz w:val="22"/>
        </w:rPr>
      </w:r>
    </w:p>
    <w:p>
      <w:pPr>
        <w:pStyle w:val="Heading3"/>
        <w:ind w:hanging="0" w:start="0"/>
        <w:jc w:val="both"/>
        <w:rPr>
          <w:b/>
          <w:u w:val="none"/>
        </w:rPr>
      </w:pPr>
      <w:r>
        <w:rPr>
          <w:b/>
          <w:u w:val="none"/>
        </w:rPr>
        <w:t>Gas</w:t>
      </w:r>
    </w:p>
    <w:p>
      <w:pPr>
        <w:pStyle w:val="Normal"/>
        <w:spacing w:lineRule="atLeast" w:line="240"/>
        <w:jc w:val="both"/>
        <w:rPr>
          <w:rFonts w:ascii="Helv;Arial" w:hAnsi="Helv;Arial" w:cs="Helv;Arial"/>
          <w:b/>
          <w:color w:val="000000"/>
          <w:sz w:val="22"/>
          <w:u w:val="none"/>
          <w:lang w:eastAsia="en-US"/>
        </w:rPr>
      </w:pPr>
      <w:r>
        <w:rPr>
          <w:rFonts w:cs="Helv;Arial" w:ascii="Helv;Arial" w:hAnsi="Helv;Arial"/>
          <w:b/>
          <w:color w:val="000000"/>
          <w:sz w:val="22"/>
          <w:u w:val="none"/>
          <w:lang w:eastAsia="en-US"/>
        </w:rPr>
      </w:r>
    </w:p>
    <w:p>
      <w:pPr>
        <w:pStyle w:val="Normal"/>
        <w:numPr>
          <w:ilvl w:val="0"/>
          <w:numId w:val="14"/>
        </w:numPr>
        <w:spacing w:lineRule="atLeast" w:line="240"/>
        <w:jc w:val="both"/>
        <w:rPr>
          <w:rFonts w:ascii="Bookman Old Style" w:hAnsi="Bookman Old Style" w:cs="Bookman Old Style"/>
          <w:sz w:val="24"/>
        </w:rPr>
      </w:pPr>
      <w:r>
        <w:rPr>
          <w:rFonts w:cs="Bookman Old Style" w:ascii="Bookman Old Style" w:hAnsi="Bookman Old Style"/>
          <w:i/>
          <w:sz w:val="24"/>
        </w:rPr>
        <w:t xml:space="preserve">Gujarat Gas Act. </w:t>
      </w:r>
      <w:r>
        <w:rPr>
          <w:rFonts w:cs="Bookman Old Style" w:ascii="Bookman Old Style" w:hAnsi="Bookman Old Style"/>
          <w:sz w:val="24"/>
        </w:rPr>
        <w:t xml:space="preserve">Mr. Sundar Singh Bhandari, the Governor of Gujarat has returned the "Draft Ordinance of Gujarat Gas Act" to the State Cabinet, suggesting that there was no urgency for enacting an act through the ordinance route and that the Government should get the legislation passed by the State Assembly. The winter session of the State Assembly is expected to take place in February, 2001.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BodyTextIndent"/>
        <w:jc w:val="both"/>
        <w:rPr/>
      </w:pPr>
      <w:r>
        <w:rPr/>
        <w:t xml:space="preserve">According to reliable source(s), the Gujarat Governor's decision of returning the "Gujarat Gas Ordinance" to the GoG was a result of: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BodyTextIndent"/>
        <w:jc w:val="both"/>
        <w:rPr/>
      </w:pPr>
      <w:r>
        <w:rPr/>
        <w:t xml:space="preserve">(i) Governor's office being aware that the Centre Govt. and the public and private companies (including MNCs) in the oil and gas sector have major reservations about the proposed legislation, aimed at putting in place a "Common Carrier Network".  </w:t>
      </w:r>
    </w:p>
    <w:p>
      <w:pPr>
        <w:pStyle w:val="BodyTextIndent"/>
        <w:jc w:val="both"/>
        <w:rPr/>
      </w:pPr>
      <w:r>
        <w:rPr/>
        <w:t xml:space="preserve">(ii) The Centre Govt. feels a Central Gas Act should first come into existence before States start adopting similar legislation. </w:t>
      </w:r>
    </w:p>
    <w:p>
      <w:pPr>
        <w:pStyle w:val="BodyTextIndent"/>
        <w:jc w:val="both"/>
        <w:rPr/>
      </w:pPr>
      <w:r>
        <w:rPr/>
        <w:t xml:space="preserve">(iii) Governor's office has been apprised of Union Petroleum Minister, Mr. Ram Naik's reservations on the issue.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Subject"/>
        <w:ind w:start="360" w:end="0"/>
        <w:jc w:val="both"/>
        <w:rPr>
          <w:rFonts w:ascii="Bookman Old Style" w:hAnsi="Bookman Old Style" w:cs="Bookman Old Style"/>
          <w:color w:val="000000"/>
          <w:sz w:val="24"/>
        </w:rPr>
      </w:pPr>
      <w:r>
        <w:rPr>
          <w:rFonts w:cs="Bookman Old Style" w:ascii="Bookman Old Style" w:hAnsi="Bookman Old Style"/>
          <w:color w:val="000000"/>
          <w:sz w:val="24"/>
        </w:rPr>
        <w:t>Subsequent to Governor's refusal to sign on the Gas Ordinance, the State Energy Minister, Mr. Kaushik Patel met the Governor yesterday, to explain the reasons for urgency for the Ordinance.  After the meeting, the Energy Minister is hopeful that the Government might take a final decision on the Ordinance.</w:t>
      </w:r>
    </w:p>
    <w:p>
      <w:pPr>
        <w:pStyle w:val="Subject"/>
        <w:ind w:start="360" w:end="0"/>
        <w:jc w:val="both"/>
        <w:rPr>
          <w:rFonts w:ascii="Bookman Old Style" w:hAnsi="Bookman Old Style" w:cs="Bookman Old Style"/>
          <w:color w:val="000000"/>
          <w:sz w:val="24"/>
        </w:rPr>
      </w:pPr>
      <w:r>
        <w:rPr>
          <w:rFonts w:cs="Bookman Old Style" w:ascii="Bookman Old Style" w:hAnsi="Bookman Old Style"/>
          <w:color w:val="000000"/>
          <w:sz w:val="24"/>
        </w:rPr>
      </w:r>
    </w:p>
    <w:p>
      <w:pPr>
        <w:pStyle w:val="Subject"/>
        <w:numPr>
          <w:ilvl w:val="0"/>
          <w:numId w:val="15"/>
        </w:numPr>
        <w:jc w:val="both"/>
        <w:rPr>
          <w:rFonts w:ascii="Times New Roman" w:hAnsi="Times New Roman" w:cs="Times New Roman"/>
          <w:lang w:eastAsia="en-CA"/>
        </w:rPr>
      </w:pPr>
      <w:r>
        <w:rPr>
          <w:rFonts w:cs="Bookman Old Style" w:ascii="Bookman Old Style" w:hAnsi="Bookman Old Style"/>
          <w:i/>
          <w:sz w:val="24"/>
          <w:lang w:eastAsia="en-CA"/>
        </w:rPr>
        <w:t xml:space="preserve">Open Access.  </w:t>
      </w:r>
      <w:r>
        <w:rPr>
          <w:rFonts w:cs="Bookman Old Style" w:ascii="Bookman Old Style" w:hAnsi="Bookman Old Style"/>
          <w:sz w:val="24"/>
          <w:lang w:eastAsia="en-CA"/>
        </w:rPr>
        <w:t>Drafted memorandum outlining the issues involved in opening the pipeline and terminal to third party access.</w:t>
      </w:r>
    </w:p>
    <w:p>
      <w:pPr>
        <w:pStyle w:val="Normal"/>
        <w:jc w:val="both"/>
        <w:rPr>
          <w:rFonts w:ascii="Times New Roman" w:hAnsi="Times New Roman" w:cs="Times New Roman"/>
          <w:lang w:eastAsia="en-CA"/>
        </w:rPr>
      </w:pPr>
      <w:r>
        <w:rPr>
          <w:rFonts w:cs="Times New Roman"/>
          <w:lang w:eastAsia="en-CA"/>
        </w:rPr>
      </w:r>
    </w:p>
    <w:p>
      <w:pPr>
        <w:pStyle w:val="Heading1"/>
        <w:ind w:hanging="0" w:start="0"/>
        <w:jc w:val="both"/>
        <w:rPr>
          <w:sz w:val="22"/>
        </w:rPr>
      </w:pPr>
      <w:r>
        <w:rPr>
          <w:sz w:val="22"/>
        </w:rPr>
        <w:t>Electricity</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Heading1"/>
        <w:numPr>
          <w:ilvl w:val="0"/>
          <w:numId w:val="4"/>
        </w:numPr>
        <w:jc w:val="both"/>
        <w:rPr>
          <w:b w:val="false"/>
        </w:rPr>
      </w:pPr>
      <w:r>
        <w:rPr>
          <w:b w:val="false"/>
          <w:i/>
        </w:rPr>
        <w:t>MSEB rate filing.</w:t>
      </w:r>
      <w:r>
        <w:rPr>
          <w:b w:val="false"/>
        </w:rPr>
        <w:t xml:space="preserve"> In the context of the proposed rate filing to MERC, revisited the Load forecast for MSEB for the coming two years to ensure the methodological application of consistent growth rates. Revisited the estimates for unserved loads to the appropriate customer classes to ensure that they are accounted for in the total MUs generated/purchased in the rate period.  Started the research for the appropriate methodology to reflect the fuel adjustment clauses in the rates as a prelude to include it in the rate filing. Conducted several visits to MSEB to ensure better understanding of the characteristics of the system to accurately reflect in the rate filing (particularly in reference to dispatch and MW needs).</w:t>
      </w:r>
    </w:p>
    <w:p>
      <w:pPr>
        <w:pStyle w:val="Normal"/>
        <w:rPr>
          <w:rFonts w:ascii="Bookman Old Style" w:hAnsi="Bookman Old Style" w:cs="Bookman Old Style"/>
          <w:b/>
          <w:i/>
          <w:i/>
          <w:color w:val="000000"/>
          <w:sz w:val="24"/>
          <w:lang w:eastAsia="en-US"/>
        </w:rPr>
      </w:pPr>
      <w:r>
        <w:rPr>
          <w:rFonts w:cs="Bookman Old Style" w:ascii="Bookman Old Style" w:hAnsi="Bookman Old Style"/>
          <w:b/>
          <w:i/>
          <w:color w:val="000000"/>
          <w:sz w:val="24"/>
          <w:lang w:eastAsia="en-US"/>
        </w:rPr>
      </w:r>
    </w:p>
    <w:p>
      <w:pPr>
        <w:pStyle w:val="Normal"/>
        <w:spacing w:lineRule="atLeast" w:line="240"/>
        <w:ind w:start="36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t>Prepared comments on two Chapters of proposed draft MSEB rate case (i) the impact of both the Centre’s Electricity Bill 2000 and the Maharashtra Electricity Reform Bill.  It was decided to omit this material from the rate case; (ii) Chapter 13 (Mula Pravara Tariff). Discussed these with the concerned official in MSEB Regulatory Group. Also had a detailed discussion with TD (Dist) and other MSEB officials about presentation of the billing information and how to collect data therefor, with particular reference to the comments made by MERC in its May 5, 2000, Order.</w:t>
      </w:r>
    </w:p>
    <w:p>
      <w:pPr>
        <w:pStyle w:val="Normal"/>
        <w:spacing w:lineRule="atLeast" w:line="240"/>
        <w:ind w:start="36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spacing w:lineRule="atLeast" w:line="240"/>
        <w:ind w:start="36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t>Drafted rate case chapter on MSEB’s lack of compliance with the orders contained in the May 5, 2000 MERC order.</w:t>
      </w:r>
    </w:p>
    <w:p>
      <w:pPr>
        <w:pStyle w:val="Normal"/>
        <w:spacing w:lineRule="atLeast" w:line="240"/>
        <w:ind w:start="36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spacing w:lineRule="atLeast" w:line="240"/>
        <w:ind w:start="36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t xml:space="preserve">Drafted the chapter on merit order dispatch.  The chapter describes multiple scenarios and what falls in and out of the dispatch merit order.  While Dabhol is on naphtha, from an economics point of view, nuclear, hydro and gas-fueled thermal plants fall outside of the merit order.  However, after Dabhol is fueled by LNG, then not only will nuclear, hydro and gas-fueled plants but also the Dabhol 75 percent take-or-pay will fall outside of the merit order dispatch. Met with the MSEB dispatch center personnel to clarify issues on merit order dispatch and determine change after institution of the Availability Based Tariff once its appeal is resolved with NTPC.  A discrepancy still remains to be resolved as to the effect of the ABT on dispatch of NTPC.  </w:t>
      </w:r>
    </w:p>
    <w:p>
      <w:pPr>
        <w:pStyle w:val="Heading1"/>
        <w:ind w:hanging="0" w:start="0"/>
        <w:jc w:val="both"/>
        <w:rPr>
          <w:rFonts w:ascii="Bookman Old Style" w:hAnsi="Bookman Old Style" w:cs="Bookman Old Style"/>
          <w:color w:val="auto"/>
          <w:sz w:val="22"/>
          <w:lang w:eastAsia="en-US"/>
        </w:rPr>
      </w:pPr>
      <w:r>
        <w:rPr>
          <w:rFonts w:cs="Bookman Old Style"/>
          <w:color w:val="auto"/>
          <w:sz w:val="22"/>
          <w:lang w:eastAsia="en-US"/>
        </w:rPr>
      </w:r>
    </w:p>
    <w:p>
      <w:pPr>
        <w:pStyle w:val="Normal"/>
        <w:numPr>
          <w:ilvl w:val="0"/>
          <w:numId w:val="6"/>
        </w:numPr>
        <w:jc w:val="both"/>
        <w:rPr/>
      </w:pPr>
      <w:r>
        <w:rPr>
          <w:rFonts w:cs="Bookman Old Style" w:ascii="Bookman Old Style" w:hAnsi="Bookman Old Style"/>
          <w:i/>
          <w:sz w:val="24"/>
        </w:rPr>
        <w:t>Infrastructure regulation - SAFIR Course.</w:t>
      </w:r>
      <w:r>
        <w:rPr>
          <w:rFonts w:cs="Bookman Old Style" w:ascii="Bookman Old Style" w:hAnsi="Bookman Old Style"/>
          <w:sz w:val="24"/>
        </w:rPr>
        <w:t xml:space="preserve"> Represented Enron on a panel discussing private sector perspectives on regulation, at a course on Infrastructure Regulation and Reform, sponsored by Teri and the World Bank.</w:t>
      </w:r>
    </w:p>
    <w:p>
      <w:pPr>
        <w:pStyle w:val="Normal"/>
        <w:jc w:val="both"/>
        <w:rPr>
          <w:rFonts w:ascii="Bookman Old Style" w:hAnsi="Bookman Old Style" w:cs="Bookman Old Style"/>
          <w:i/>
          <w:i/>
          <w:sz w:val="24"/>
        </w:rPr>
      </w:pPr>
      <w:r>
        <w:rPr>
          <w:rFonts w:cs="Bookman Old Style" w:ascii="Bookman Old Style" w:hAnsi="Bookman Old Style"/>
          <w:i/>
          <w:sz w:val="24"/>
        </w:rPr>
      </w:r>
    </w:p>
    <w:p>
      <w:pPr>
        <w:pStyle w:val="Normal"/>
        <w:numPr>
          <w:ilvl w:val="0"/>
          <w:numId w:val="9"/>
        </w:numPr>
        <w:jc w:val="both"/>
        <w:rPr/>
      </w:pPr>
      <w:r>
        <w:rPr>
          <w:rFonts w:cs="Bookman Old Style" w:ascii="Bookman Old Style" w:hAnsi="Bookman Old Style"/>
          <w:i/>
          <w:color w:val="000000"/>
          <w:sz w:val="24"/>
          <w:lang w:eastAsia="en-US"/>
        </w:rPr>
        <w:t xml:space="preserve">Fuel Import Licence for DPC. </w:t>
      </w:r>
      <w:r>
        <w:rPr>
          <w:rFonts w:cs="Bookman Old Style" w:ascii="Bookman Old Style" w:hAnsi="Bookman Old Style"/>
          <w:color w:val="000000"/>
          <w:sz w:val="24"/>
          <w:lang w:eastAsia="en-US"/>
        </w:rPr>
        <w:t>Along with Neil McGregor and Mukesh Tyagi, met twice with Petroleum Secretary Shankar to discuss the fuel import licence for DPC. This has been pending for many months now and issue of licence was delayed as the MPNG suggested to DPC that domestic Naphtha be sourced from IOC instead of imports.</w:t>
      </w:r>
    </w:p>
    <w:p>
      <w:pPr>
        <w:pStyle w:val="Normal"/>
        <w:jc w:val="both"/>
        <w:rPr>
          <w:rFonts w:ascii="Bookman Old Style" w:hAnsi="Bookman Old Style" w:cs="Bookman Old Style"/>
          <w:i/>
          <w:i/>
          <w:color w:val="000000"/>
          <w:sz w:val="24"/>
          <w:lang w:eastAsia="en-US"/>
        </w:rPr>
      </w:pPr>
      <w:r>
        <w:rPr>
          <w:rFonts w:cs="Bookman Old Style" w:ascii="Bookman Old Style" w:hAnsi="Bookman Old Style"/>
          <w:i/>
          <w:color w:val="000000"/>
          <w:sz w:val="24"/>
          <w:lang w:eastAsia="en-US"/>
        </w:rPr>
      </w:r>
    </w:p>
    <w:p>
      <w:pPr>
        <w:pStyle w:val="Normal"/>
        <w:numPr>
          <w:ilvl w:val="0"/>
          <w:numId w:val="12"/>
        </w:numPr>
        <w:jc w:val="both"/>
        <w:rPr/>
      </w:pPr>
      <w:r>
        <w:rPr>
          <w:rFonts w:cs="Bookman Old Style" w:ascii="Bookman Old Style" w:hAnsi="Bookman Old Style"/>
          <w:i/>
          <w:color w:val="000000"/>
          <w:sz w:val="24"/>
          <w:lang w:eastAsia="en-US"/>
        </w:rPr>
        <w:t>AMCHAM</w:t>
      </w:r>
      <w:r>
        <w:rPr>
          <w:rFonts w:cs="Bookman Old Style" w:ascii="Bookman Old Style" w:hAnsi="Bookman Old Style"/>
          <w:color w:val="000000"/>
          <w:sz w:val="24"/>
          <w:lang w:eastAsia="en-US"/>
        </w:rPr>
        <w:t xml:space="preserve">. </w:t>
      </w:r>
    </w:p>
    <w:p>
      <w:pPr>
        <w:pStyle w:val="BodyTextIndent"/>
        <w:numPr>
          <w:ilvl w:val="0"/>
          <w:numId w:val="11"/>
        </w:numPr>
        <w:spacing w:lineRule="auto" w:line="240"/>
        <w:jc w:val="both"/>
        <w:rPr/>
      </w:pPr>
      <w:r>
        <w:rPr/>
        <w:t>A meeting of the Energy Committee was held over breakfast at the American Ambassador's residence on December 12. Sanjay (for EIPL) and Ashok (for DPC) attended. Representatives of energy companies briefed the group on specific issues relating to their activities in India. There was general concern at the slowdown in economic activity in India and reforms. Sanjay briefed the group on the recent DPC controversy.</w:t>
      </w:r>
    </w:p>
    <w:p>
      <w:pPr>
        <w:pStyle w:val="BodyTextIndent"/>
        <w:spacing w:lineRule="auto" w:line="240"/>
        <w:jc w:val="both"/>
        <w:rPr/>
      </w:pPr>
      <w:r>
        <w:rPr/>
      </w:r>
    </w:p>
    <w:p>
      <w:pPr>
        <w:pStyle w:val="Normal"/>
        <w:numPr>
          <w:ilvl w:val="0"/>
          <w:numId w:val="11"/>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t xml:space="preserve">Professor Pankaj Ghemawat, Tiampo  Professor  of  Business Administration, Harvard Business School, was sponsored by Enron India to deliver lectures on "India in the Era of Globalisation" in Delhi and Mumbai. In Delhi, he delivered lectures to a joint AMCHAM-FICCI group on December 12 and later the same evening to the YPO.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5"/>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DPC controversy</w:t>
      </w:r>
      <w:r>
        <w:rPr>
          <w:rFonts w:cs="Bookman Old Style" w:ascii="Bookman Old Style" w:hAnsi="Bookman Old Style"/>
          <w:color w:val="000000"/>
          <w:sz w:val="24"/>
          <w:lang w:eastAsia="en-US"/>
        </w:rPr>
        <w:t>. Assisted and gave input into the Public Relations efforts to manage the DPC controversy, particularly as to the tariff.</w:t>
      </w:r>
    </w:p>
    <w:p>
      <w:pPr>
        <w:pStyle w:val="Normal"/>
        <w:spacing w:lineRule="atLeast" w:line="240"/>
        <w:jc w:val="both"/>
        <w:rPr>
          <w:rFonts w:ascii="Bookman Old Style" w:hAnsi="Bookman Old Style" w:cs="Bookman Old Style"/>
          <w:i/>
          <w:i/>
          <w:color w:val="000000"/>
          <w:sz w:val="24"/>
          <w:lang w:eastAsia="en-US"/>
        </w:rPr>
      </w:pPr>
      <w:r>
        <w:rPr>
          <w:rFonts w:cs="Bookman Old Style" w:ascii="Bookman Old Style" w:hAnsi="Bookman Old Style"/>
          <w:i/>
          <w:color w:val="000000"/>
          <w:sz w:val="24"/>
          <w:lang w:eastAsia="en-US"/>
        </w:rPr>
      </w:r>
    </w:p>
    <w:p>
      <w:pPr>
        <w:pStyle w:val="Normal"/>
        <w:numPr>
          <w:ilvl w:val="0"/>
          <w:numId w:val="10"/>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MERC meeting</w:t>
      </w:r>
      <w:r>
        <w:rPr>
          <w:rFonts w:cs="Bookman Old Style" w:ascii="Bookman Old Style" w:hAnsi="Bookman Old Style"/>
          <w:color w:val="000000"/>
          <w:sz w:val="24"/>
          <w:lang w:eastAsia="en-US"/>
        </w:rPr>
        <w:t xml:space="preserve">.  Met with Mr. Subrahmanyam, Chairman of the Maharashtra Electricity Regulatory Commission.  He commented on the inappropriateness of his fellow Commissioner Chary from making a statement in a conference that the Commission was assembling a legal panel to advise on the Commission’s jurisdiction to look at DPC’s PPA.  He stated that the MERC had never approached the DPC PPA.  Shared the tariff history and composition with the Chairman.  Finally, he stated that the Commission was well aware of the TOP obligations of MSEB.  </w:t>
      </w:r>
    </w:p>
    <w:p>
      <w:pPr>
        <w:pStyle w:val="Normal"/>
        <w:spacing w:lineRule="atLeast" w:line="240"/>
        <w:jc w:val="both"/>
        <w:rPr>
          <w:rFonts w:ascii="Bookman Old Style" w:hAnsi="Bookman Old Style" w:cs="Bookman Old Style"/>
          <w:i/>
          <w:i/>
          <w:color w:val="000000"/>
          <w:sz w:val="24"/>
          <w:lang w:eastAsia="en-US"/>
        </w:rPr>
      </w:pPr>
      <w:r>
        <w:rPr>
          <w:rFonts w:cs="Bookman Old Style" w:ascii="Bookman Old Style" w:hAnsi="Bookman Old Style"/>
          <w:i/>
          <w:color w:val="000000"/>
          <w:sz w:val="24"/>
          <w:lang w:eastAsia="en-US"/>
        </w:rPr>
      </w:r>
    </w:p>
    <w:p>
      <w:pPr>
        <w:pStyle w:val="Normal"/>
        <w:numPr>
          <w:ilvl w:val="0"/>
          <w:numId w:val="8"/>
        </w:numPr>
        <w:tabs>
          <w:tab w:val="clear" w:pos="720"/>
        </w:tabs>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Electricity Bill 2000. </w:t>
      </w:r>
      <w:r>
        <w:rPr>
          <w:rFonts w:cs="Bookman Old Style" w:ascii="Bookman Old Style" w:hAnsi="Bookman Old Style"/>
          <w:color w:val="000000"/>
          <w:sz w:val="24"/>
          <w:lang w:eastAsia="en-US"/>
        </w:rPr>
        <w:t>The winter session of the Lok Sabha is underway and continues until about December 22. It has been a very tumultuous session with opposition parties obstructing proceedings on a number of issues and many working days have been lost. It is unlikely that the Electricity Bill 2000 will be tabled in this session, as earlier expected.</w:t>
      </w:r>
    </w:p>
    <w:p>
      <w:pPr>
        <w:pStyle w:val="BodyTextIndent"/>
        <w:spacing w:lineRule="auto" w:line="240"/>
        <w:jc w:val="both"/>
        <w:rPr>
          <w:rFonts w:ascii="Bookman Old Style" w:hAnsi="Bookman Old Style" w:cs="Bookman Old Style"/>
          <w:color w:val="000000"/>
          <w:sz w:val="24"/>
          <w:lang w:eastAsia="en-US"/>
        </w:rPr>
      </w:pPr>
      <w:r>
        <w:rPr>
          <w:rFonts w:cs="Bookman Old Style"/>
          <w:color w:val="000000"/>
          <w:sz w:val="24"/>
          <w:lang w:eastAsia="en-US"/>
        </w:rPr>
      </w:r>
    </w:p>
    <w:p>
      <w:pPr>
        <w:pStyle w:val="Normal"/>
        <w:numPr>
          <w:ilvl w:val="0"/>
          <w:numId w:val="2"/>
        </w:numPr>
        <w:spacing w:lineRule="atLeast" w:line="240"/>
        <w:jc w:val="both"/>
        <w:rPr>
          <w:rFonts w:ascii="Bookman Old Style" w:hAnsi="Bookman Old Style" w:cs="Bookman Old Style"/>
          <w:b/>
          <w:color w:val="0000FF"/>
          <w:sz w:val="24"/>
          <w:lang w:eastAsia="en-US"/>
        </w:rPr>
      </w:pPr>
      <w:r>
        <w:rPr>
          <w:rFonts w:cs="Bookman Old Style" w:ascii="Bookman Old Style" w:hAnsi="Bookman Old Style"/>
          <w:i/>
          <w:sz w:val="24"/>
          <w:lang w:eastAsia="en-US"/>
        </w:rPr>
        <w:t xml:space="preserve">Gujarat Electricity Regulatory Commission (GERC).  </w:t>
      </w:r>
    </w:p>
    <w:p>
      <w:pPr>
        <w:pStyle w:val="BodyTextIndent2"/>
        <w:ind w:start="720" w:end="0"/>
        <w:jc w:val="both"/>
        <w:rPr/>
      </w:pPr>
      <w:r>
        <w:rPr/>
        <w:t xml:space="preserve">1. Addressing an open house meet, Mr. B. M. Oza, Acting Chairman, GERC, observed the following: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BodyTextIndent3"/>
        <w:jc w:val="both"/>
        <w:rPr/>
      </w:pPr>
      <w:r>
        <w:rPr>
          <w:rFonts w:eastAsia="Bookman Old Style"/>
        </w:rPr>
        <w:t xml:space="preserve">         </w:t>
      </w:r>
      <w:r>
        <w:rPr/>
        <w:t xml:space="preserve">(i) The requests by Gujarat Electricity Board (GEB) for tariff revision, in the future, would be accepted only if the GEB first puts its house in order by cutting down its losses. </w:t>
      </w:r>
    </w:p>
    <w:p>
      <w:pPr>
        <w:pStyle w:val="BodyTextIndent3"/>
        <w:jc w:val="both"/>
        <w:rPr/>
      </w:pPr>
      <w:r>
        <w:rPr>
          <w:rFonts w:eastAsia="Bookman Old Style"/>
        </w:rPr>
        <w:t xml:space="preserve">         </w:t>
      </w:r>
      <w:r>
        <w:rPr/>
        <w:t xml:space="preserve">(ii) The power scenario can improve only if competition is introduced in the sector through commercialisation, corporatisation and finally privatisation.  </w:t>
      </w:r>
    </w:p>
    <w:p>
      <w:pPr>
        <w:pStyle w:val="BodyTextIndent3"/>
        <w:jc w:val="both"/>
        <w:rPr/>
      </w:pPr>
      <w:r>
        <w:rPr>
          <w:rFonts w:eastAsia="Bookman Old Style"/>
        </w:rPr>
        <w:t xml:space="preserve">         </w:t>
      </w:r>
      <w:r>
        <w:rPr/>
        <w:t xml:space="preserve">(iii) GERC has recommended to the State Government that it should execute the restructuring plan for GEB. </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ind w:hanging="720" w:start="720" w:end="0"/>
        <w:jc w:val="both"/>
        <w:rPr/>
      </w:pPr>
      <w:r>
        <w:rPr>
          <w:rFonts w:eastAsia="Bookman Old Style" w:cs="Bookman Old Style" w:ascii="Bookman Old Style" w:hAnsi="Bookman Old Style"/>
          <w:color w:val="000000"/>
          <w:sz w:val="24"/>
          <w:lang w:eastAsia="en-US"/>
        </w:rPr>
        <w:t xml:space="preserve">     </w:t>
      </w:r>
      <w:r>
        <w:rPr>
          <w:rFonts w:cs="Bookman Old Style" w:ascii="Bookman Old Style" w:hAnsi="Bookman Old Style"/>
          <w:color w:val="000000"/>
          <w:sz w:val="24"/>
          <w:lang w:eastAsia="en-US"/>
        </w:rPr>
        <w:t>2. On Dec. 12</w:t>
      </w:r>
      <w:r>
        <w:rPr>
          <w:rFonts w:cs="Bookman Old Style" w:ascii="Bookman Old Style" w:hAnsi="Bookman Old Style"/>
          <w:color w:val="000000"/>
          <w:sz w:val="24"/>
          <w:vertAlign w:val="superscript"/>
          <w:lang w:eastAsia="en-US"/>
        </w:rPr>
        <w:t>th</w:t>
      </w:r>
      <w:r>
        <w:rPr>
          <w:rFonts w:cs="Bookman Old Style" w:ascii="Bookman Old Style" w:hAnsi="Bookman Old Style"/>
          <w:color w:val="000000"/>
          <w:sz w:val="24"/>
          <w:lang w:eastAsia="en-US"/>
        </w:rPr>
        <w:t>, GERC, after hearing the petitions filed by Gujarat Chamber of Commerce &amp; Industry (GCCI) and Bhartiya Kishan Sangh (BKS) against its award for GEB tariff hike, has lifted stay order on the implementation of its award. Now, GEB can start levying revised power tariff as per the GERC award. However, the Commission will have further hearing on the petitions filed by eight more parties on Dec. 19</w:t>
      </w:r>
      <w:r>
        <w:rPr>
          <w:rFonts w:cs="Bookman Old Style" w:ascii="Bookman Old Style" w:hAnsi="Bookman Old Style"/>
          <w:color w:val="000000"/>
          <w:sz w:val="24"/>
          <w:vertAlign w:val="superscript"/>
          <w:lang w:eastAsia="en-US"/>
        </w:rPr>
        <w:t>th</w:t>
      </w:r>
      <w:r>
        <w:rPr>
          <w:rFonts w:cs="Bookman Old Style" w:ascii="Bookman Old Style" w:hAnsi="Bookman Old Style"/>
          <w:color w:val="000000"/>
          <w:sz w:val="24"/>
          <w:lang w:eastAsia="en-US"/>
        </w:rPr>
        <w:t xml:space="preserve"> and will take the final decision on the entire matter.</w:t>
      </w:r>
    </w:p>
    <w:p>
      <w:pPr>
        <w:pStyle w:val="Normal"/>
        <w:ind w:hanging="720" w:start="720" w:end="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16"/>
        </w:numPr>
        <w:jc w:val="both"/>
        <w:rPr/>
      </w:pPr>
      <w:r>
        <w:rPr>
          <w:rFonts w:cs="Bookman Old Style" w:ascii="Bookman Old Style" w:hAnsi="Bookman Old Style"/>
          <w:i/>
          <w:sz w:val="24"/>
          <w:lang w:eastAsia="en-US"/>
        </w:rPr>
        <w:t>GEB to reopen PPAs with IPPs</w:t>
      </w:r>
      <w:r>
        <w:rPr>
          <w:rFonts w:cs="Bookman Old Style" w:ascii="Bookman Old Style" w:hAnsi="Bookman Old Style"/>
          <w:i/>
          <w:sz w:val="24"/>
        </w:rPr>
        <w:t>.</w:t>
      </w:r>
      <w:r>
        <w:rPr>
          <w:rFonts w:cs="Bookman Old Style" w:ascii="Bookman Old Style" w:hAnsi="Bookman Old Style"/>
          <w:sz w:val="24"/>
        </w:rPr>
        <w:t xml:space="preserve"> </w:t>
      </w:r>
      <w:r>
        <w:rPr>
          <w:rFonts w:cs="Bookman Old Style" w:ascii="Bookman Old Style" w:hAnsi="Bookman Old Style"/>
          <w:sz w:val="24"/>
          <w:lang w:eastAsia="en-US"/>
        </w:rPr>
        <w:t>According to sources in the Energy Department, GoG, GEB has initiated the process to reopen agreements it has signed with four Independent Power Projects (IPPs) in the state - GIPCL, GSEC, GPEC and Essar Power.  Letters to the IPPs inviting them to the negotiating table to reopen the PPAs is the next logical step in the direction.  The major debatable point in case of agreements signed by GEB is the deemed generation benefits going to IPPs.  The exercise of reopening PPAs is based on the suggestions made by GERC in its report on tariff revision issued in October, 2000.</w:t>
      </w:r>
    </w:p>
    <w:p>
      <w:pPr>
        <w:pStyle w:val="Subject"/>
        <w:jc w:val="both"/>
        <w:rPr>
          <w:rFonts w:ascii="Times New Roman" w:hAnsi="Times New Roman" w:cs="Times New Roman"/>
          <w:lang w:eastAsia="en-CA"/>
        </w:rPr>
      </w:pPr>
      <w:r>
        <w:rPr>
          <w:rFonts w:cs="Times New Roman" w:ascii="Times New Roman" w:hAnsi="Times New Roman"/>
          <w:lang w:eastAsia="en-CA"/>
        </w:rPr>
      </w:r>
    </w:p>
    <w:p>
      <w:pPr>
        <w:pStyle w:val="Normal"/>
        <w:jc w:val="both"/>
        <w:rPr>
          <w:rFonts w:ascii="Times New Roman" w:hAnsi="Times New Roman" w:cs="Times New Roman"/>
          <w:lang w:eastAsia="en-CA"/>
        </w:rPr>
      </w:pPr>
      <w:r>
        <w:rPr>
          <w:rFonts w:cs="Times New Roman"/>
          <w:lang w:eastAsia="en-CA"/>
        </w:rPr>
      </w:r>
    </w:p>
    <w:p>
      <w:pPr>
        <w:pStyle w:val="Heading1"/>
        <w:ind w:hanging="0" w:start="0"/>
        <w:jc w:val="both"/>
        <w:rPr>
          <w:color w:val="auto"/>
        </w:rPr>
      </w:pPr>
      <w:r>
        <w:rPr>
          <w:color w:val="auto"/>
        </w:rPr>
        <w:t>Communications</w:t>
      </w:r>
    </w:p>
    <w:p>
      <w:pPr>
        <w:pStyle w:val="Normal"/>
        <w:keepLines/>
        <w:tabs>
          <w:tab w:val="clear" w:pos="720"/>
          <w:tab w:val="left" w:pos="2227" w:leader="none"/>
        </w:tabs>
        <w:spacing w:lineRule="atLeast" w:line="240"/>
        <w:jc w:val="both"/>
        <w:rPr>
          <w:rFonts w:ascii="Bookman Old Style" w:hAnsi="Bookman Old Style" w:cs="Bookman Old Style"/>
          <w:i/>
          <w:i/>
          <w:color w:val="FF0000"/>
          <w:sz w:val="22"/>
          <w:lang w:eastAsia="en-US"/>
        </w:rPr>
      </w:pPr>
      <w:r>
        <w:rPr>
          <w:rFonts w:cs="Bookman Old Style" w:ascii="Bookman Old Style" w:hAnsi="Bookman Old Style"/>
          <w:i/>
          <w:color w:val="FF0000"/>
          <w:sz w:val="22"/>
          <w:lang w:eastAsia="en-US"/>
        </w:rPr>
      </w:r>
    </w:p>
    <w:p>
      <w:pPr>
        <w:pStyle w:val="Normal"/>
        <w:numPr>
          <w:ilvl w:val="0"/>
          <w:numId w:val="13"/>
        </w:numPr>
        <w:spacing w:lineRule="atLeast" w:line="240"/>
        <w:jc w:val="both"/>
        <w:rPr>
          <w:rFonts w:ascii="Bookman Old Style" w:hAnsi="Bookman Old Style" w:cs="Bookman Old Style"/>
          <w:sz w:val="24"/>
        </w:rPr>
      </w:pPr>
      <w:r>
        <w:rPr>
          <w:rFonts w:cs="Bookman Old Style" w:ascii="Bookman Old Style" w:hAnsi="Bookman Old Style"/>
          <w:i/>
          <w:sz w:val="24"/>
        </w:rPr>
        <w:t>EBS Offsite</w:t>
      </w:r>
      <w:r>
        <w:rPr>
          <w:rFonts w:cs="Bookman Old Style" w:ascii="Bookman Old Style" w:hAnsi="Bookman Old Style"/>
          <w:sz w:val="24"/>
        </w:rPr>
        <w:t xml:space="preserve">. </w:t>
      </w:r>
      <w:r>
        <w:rPr>
          <w:rFonts w:cs="Bookman Old Style" w:ascii="Bookman Old Style" w:hAnsi="Bookman Old Style"/>
          <w:color w:val="000000"/>
          <w:sz w:val="24"/>
          <w:lang w:eastAsia="en-US"/>
        </w:rPr>
        <w:t>Participated in the two day Offsite (7th &amp; 8th of December) on EBS India Strategy and Plans.</w:t>
      </w:r>
      <w:r>
        <w:rPr>
          <w:rFonts w:cs="Bookman Old Style" w:ascii="Bookman Old Style" w:hAnsi="Bookman Old Style"/>
          <w:sz w:val="24"/>
        </w:rPr>
        <w:t xml:space="preserve"> </w:t>
      </w:r>
    </w:p>
    <w:p>
      <w:pPr>
        <w:pStyle w:val="Normal"/>
        <w:spacing w:lineRule="atLeast" w:line="240"/>
        <w:jc w:val="both"/>
        <w:rPr>
          <w:rFonts w:ascii="Bookman Old Style" w:hAnsi="Bookman Old Style" w:cs="Bookman Old Style"/>
          <w:sz w:val="24"/>
        </w:rPr>
      </w:pPr>
      <w:r>
        <w:rPr>
          <w:rFonts w:cs="Bookman Old Style" w:ascii="Bookman Old Style" w:hAnsi="Bookman Old Style"/>
          <w:sz w:val="24"/>
        </w:rPr>
      </w:r>
    </w:p>
    <w:p>
      <w:pPr>
        <w:pStyle w:val="Normal"/>
        <w:numPr>
          <w:ilvl w:val="0"/>
          <w:numId w:val="3"/>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Status Paper on Telecommunications. </w:t>
      </w:r>
      <w:r>
        <w:rPr>
          <w:rFonts w:cs="Bookman Old Style" w:ascii="Bookman Old Style" w:hAnsi="Bookman Old Style"/>
          <w:color w:val="000000"/>
          <w:sz w:val="24"/>
          <w:lang w:eastAsia="en-US"/>
        </w:rPr>
        <w:t>Submitted the draft on the Status Paper on telecommunications</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p>
      <w:pPr>
        <w:pStyle w:val="Normal"/>
        <w:numPr>
          <w:ilvl w:val="0"/>
          <w:numId w:val="7"/>
        </w:numPr>
        <w:spacing w:lineRule="atLeast" w:line="240"/>
        <w:jc w:val="both"/>
        <w:rPr>
          <w:rFonts w:ascii="Helv;Arial" w:hAnsi="Helv;Arial" w:cs="Helv;Arial"/>
          <w:color w:val="000000"/>
          <w:lang w:eastAsia="en-US"/>
        </w:rPr>
      </w:pPr>
      <w:r>
        <w:rPr>
          <w:rFonts w:cs="Bookman Old Style" w:ascii="Bookman Old Style" w:hAnsi="Bookman Old Style"/>
          <w:i/>
          <w:color w:val="000000"/>
          <w:sz w:val="24"/>
          <w:lang w:eastAsia="en-US"/>
        </w:rPr>
        <w:t xml:space="preserve">i2-EBS agreement. </w:t>
      </w:r>
      <w:r>
        <w:rPr>
          <w:rFonts w:cs="Bookman Old Style" w:ascii="Bookman Old Style" w:hAnsi="Bookman Old Style"/>
          <w:color w:val="000000"/>
          <w:sz w:val="24"/>
          <w:lang w:eastAsia="en-US"/>
        </w:rPr>
        <w:t>Working on regulatory issues pertaining to the i2-EBS deal</w:t>
      </w:r>
      <w:r>
        <w:rPr/>
        <w:t xml:space="preserve"> </w:t>
      </w:r>
    </w:p>
    <w:p>
      <w:pPr>
        <w:pStyle w:val="Normal"/>
        <w:spacing w:lineRule="atLeast" w:line="240"/>
        <w:jc w:val="both"/>
        <w:rPr>
          <w:rFonts w:ascii="Bookman Old Style" w:hAnsi="Bookman Old Style" w:cs="Bookman Old Style"/>
          <w:i/>
          <w:i/>
          <w:color w:val="000000"/>
          <w:sz w:val="24"/>
          <w:lang w:eastAsia="en-US"/>
        </w:rPr>
      </w:pPr>
      <w:r>
        <w:rPr>
          <w:rFonts w:cs="Bookman Old Style" w:ascii="Bookman Old Style" w:hAnsi="Bookman Old Style"/>
          <w:i/>
          <w:color w:val="000000"/>
          <w:sz w:val="24"/>
          <w:lang w:eastAsia="en-US"/>
        </w:rPr>
      </w:r>
    </w:p>
    <w:p>
      <w:pPr>
        <w:pStyle w:val="Normal"/>
        <w:numPr>
          <w:ilvl w:val="0"/>
          <w:numId w:val="17"/>
        </w:numPr>
        <w:spacing w:lineRule="atLeast" w:line="240"/>
        <w:jc w:val="both"/>
        <w:rPr>
          <w:rFonts w:ascii="Bookman Old Style" w:hAnsi="Bookman Old Style" w:cs="Bookman Old Style"/>
          <w:color w:val="000000"/>
          <w:sz w:val="24"/>
          <w:lang w:eastAsia="en-US"/>
        </w:rPr>
      </w:pPr>
      <w:r>
        <w:rPr>
          <w:rFonts w:cs="Bookman Old Style" w:ascii="Bookman Old Style" w:hAnsi="Bookman Old Style"/>
          <w:i/>
          <w:color w:val="000000"/>
          <w:sz w:val="24"/>
          <w:lang w:eastAsia="en-US"/>
        </w:rPr>
        <w:t xml:space="preserve">Communication Bill 2000. </w:t>
      </w:r>
      <w:r>
        <w:rPr>
          <w:rFonts w:cs="Bookman Old Style" w:ascii="Bookman Old Style" w:hAnsi="Bookman Old Style"/>
          <w:color w:val="000000"/>
          <w:sz w:val="24"/>
          <w:lang w:eastAsia="en-US"/>
        </w:rPr>
        <w:t>Preparing comments on the statute: Comparison between ICE Bill and the Communications Bill.</w:t>
      </w:r>
    </w:p>
    <w:p>
      <w:pPr>
        <w:pStyle w:val="Normal"/>
        <w:spacing w:lineRule="atLeast" w:line="240"/>
        <w:jc w:val="both"/>
        <w:rPr>
          <w:rFonts w:ascii="Bookman Old Style" w:hAnsi="Bookman Old Style" w:cs="Bookman Old Style"/>
          <w:color w:val="000000"/>
          <w:sz w:val="24"/>
          <w:lang w:eastAsia="en-US"/>
        </w:rPr>
      </w:pPr>
      <w:r>
        <w:rPr>
          <w:rFonts w:cs="Bookman Old Style" w:ascii="Bookman Old Style" w:hAnsi="Bookman Old Style"/>
          <w:color w:val="000000"/>
          <w:sz w:val="24"/>
          <w:lang w:eastAsia="en-US"/>
        </w:rPr>
      </w:r>
    </w:p>
    <w:sectPr>
      <w:headerReference w:type="default" r:id="rId3"/>
      <w:headerReference w:type="first" r:id="rId4"/>
      <w:footerReference w:type="default" r:id="rId5"/>
      <w:footerReference w:type="first" r:id="rId6"/>
      <w:type w:val="nextPage"/>
      <w:pgSz w:w="12240" w:h="15840"/>
      <w:pgMar w:left="1440" w:right="1620" w:gutter="0" w:header="720" w:top="1440" w:footer="36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ind w:end="360"/>
      <w:rPr>
        <w:sz w:val="16"/>
      </w:rPr>
    </w:pPr>
    <w:r>
      <w:rPr>
        <w:b/>
        <w:sz w:val="16"/>
      </w:rPr>
      <w:tab/>
      <w:t>Respect</w:t>
      <w:tab/>
      <w:t>Integrity</w:t>
      <w:tab/>
      <w:t>Communication</w:t>
      <w:tab/>
      <w:t>Excellence</w:t>
      <w:tab/>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52.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Form 000-469-E(7/92)</w:t>
      <w:tab/>
      <w:t>rab/word/sig_events/sig_082099.doc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tab/>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Roman"/>
      <w:lvlText w:val="(%1)"/>
      <w:lvlJc w:val="start"/>
      <w:pPr>
        <w:tabs>
          <w:tab w:val="num" w:pos="1080"/>
        </w:tabs>
        <w:ind w:start="1080" w:hanging="720"/>
      </w:pPr>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Bookman Old Style" w:hAnsi="Bookman Old Style" w:cs="Bookman Old Style"/>
      <w:b/>
      <w:color w:val="000000"/>
      <w:sz w:val="24"/>
      <w:lang w:eastAsia="en-US"/>
    </w:rPr>
  </w:style>
  <w:style w:type="paragraph" w:styleId="Heading2">
    <w:name w:val="heading 2"/>
    <w:basedOn w:val="Normal"/>
    <w:next w:val="Normal"/>
    <w:qFormat/>
    <w:pPr>
      <w:keepNext w:val="true"/>
      <w:numPr>
        <w:ilvl w:val="1"/>
        <w:numId w:val="1"/>
      </w:numPr>
      <w:spacing w:lineRule="atLeast" w:line="240"/>
      <w:outlineLvl w:val="1"/>
    </w:pPr>
    <w:rPr>
      <w:rFonts w:ascii="Helv;Arial" w:hAnsi="Helv;Arial" w:cs="Helv;Arial"/>
      <w:b/>
      <w:lang w:eastAsia="en-US"/>
    </w:rPr>
  </w:style>
  <w:style w:type="paragraph" w:styleId="Heading3">
    <w:name w:val="heading 3"/>
    <w:basedOn w:val="Normal"/>
    <w:next w:val="Normal"/>
    <w:qFormat/>
    <w:pPr>
      <w:keepNext w:val="true"/>
      <w:numPr>
        <w:ilvl w:val="2"/>
        <w:numId w:val="1"/>
      </w:numPr>
      <w:spacing w:lineRule="atLeast" w:line="240"/>
      <w:outlineLvl w:val="2"/>
    </w:pPr>
    <w:rPr>
      <w:rFonts w:ascii="Bookman Old Style" w:hAnsi="Bookman Old Style" w:cs="Bookman Old Style"/>
      <w:color w:val="000000"/>
      <w:sz w:val="24"/>
      <w:u w:val="single"/>
      <w:lang w:eastAsia="en-US"/>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i/>
      <w:lang w:eastAsia="en-US"/>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Times New Roman" w:hAnsi="Times New Roman" w:cs="Times New Roman"/>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rFonts w:ascii="Symbol" w:hAnsi="Symbol" w:cs="Symbol"/>
      <w:color w:val="auto"/>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Times New Roman" w:hAnsi="Times New Roman" w:cs="Times New Roman"/>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7z0">
    <w:name w:val="WW8Num27z0"/>
    <w:qFormat/>
    <w:rPr>
      <w:rFonts w:ascii="Symbol" w:hAnsi="Symbol" w:cs="Symbol"/>
      <w:color w:val="auto"/>
    </w:rPr>
  </w:style>
  <w:style w:type="character" w:styleId="WW8Num28z0">
    <w:name w:val="WW8Num28z0"/>
    <w:qFormat/>
    <w:rPr>
      <w:rFonts w:ascii="Symbol" w:hAnsi="Symbol" w:cs="Symbol"/>
    </w:rPr>
  </w:style>
  <w:style w:type="character" w:styleId="WW8Num29z0">
    <w:name w:val="WW8Num29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color w:val="auto"/>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color w:val="auto"/>
    </w:rPr>
  </w:style>
  <w:style w:type="character" w:styleId="WW8Num41z0">
    <w:name w:val="WW8Num41z0"/>
    <w:qFormat/>
    <w:rPr>
      <w:rFonts w:ascii="Symbol" w:hAnsi="Symbol" w:cs="Symbol"/>
      <w:color w:val="auto"/>
    </w:rPr>
  </w:style>
  <w:style w:type="character" w:styleId="WW8Num42z0">
    <w:name w:val="WW8Num42z0"/>
    <w:qFormat/>
    <w:rPr>
      <w:rFonts w:ascii="Symbol" w:hAnsi="Symbol" w:cs="Symbol"/>
      <w:color w:val="auto"/>
    </w:rPr>
  </w:style>
  <w:style w:type="character" w:styleId="WW8Num43z0">
    <w:name w:val="WW8Num43z0"/>
    <w:qFormat/>
    <w:rPr>
      <w:rFonts w:ascii="Symbol" w:hAnsi="Symbol" w:cs="Symbol"/>
      <w:color w:val="auto"/>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color w:val="auto"/>
    </w:rPr>
  </w:style>
  <w:style w:type="character" w:styleId="WW8Num46z0">
    <w:name w:val="WW8Num46z0"/>
    <w:qFormat/>
    <w:rPr/>
  </w:style>
  <w:style w:type="character" w:styleId="WW8Num47z0">
    <w:name w:val="WW8Num47z0"/>
    <w:qFormat/>
    <w:rPr>
      <w:rFonts w:ascii="Symbol" w:hAnsi="Symbol" w:cs="Symbol"/>
      <w:color w:val="auto"/>
    </w:rPr>
  </w:style>
  <w:style w:type="character" w:styleId="WW8Num48z0">
    <w:name w:val="WW8Num48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lang w:eastAsia="en-US"/>
    </w:rPr>
  </w:style>
  <w:style w:type="paragraph" w:styleId="BodyText">
    <w:name w:val="Body Text"/>
    <w:basedOn w:val="Normal"/>
    <w:pPr>
      <w:spacing w:lineRule="atLeast" w:line="240"/>
    </w:pPr>
    <w:rPr>
      <w:rFonts w:ascii="Bookman Old Style" w:hAnsi="Bookman Old Style" w:cs="Bookman Old Style"/>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lang w:eastAsia="en-US"/>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Subject">
    <w:name w:val="Subject"/>
    <w:basedOn w:val="Normal"/>
    <w:qFormat/>
    <w:pPr/>
    <w:rPr>
      <w:rFonts w:ascii="Arial" w:hAnsi="Arial" w:cs="Arial"/>
      <w:lang w:eastAsia="en-US"/>
    </w:rPr>
  </w:style>
  <w:style w:type="paragraph" w:styleId="Date">
    <w:name w:val="Date"/>
    <w:basedOn w:val="Normal"/>
    <w:qFormat/>
    <w:pPr/>
    <w:rPr>
      <w:rFonts w:ascii="Arial" w:hAnsi="Arial" w:cs="Arial"/>
      <w:lang w:eastAsia="en-US"/>
    </w:rPr>
  </w:style>
  <w:style w:type="paragraph" w:styleId="To">
    <w:name w:val="To"/>
    <w:basedOn w:val="Normal"/>
    <w:qFormat/>
    <w:pPr/>
    <w:rPr>
      <w:rFonts w:ascii="Arial" w:hAnsi="Arial" w:cs="Arial"/>
      <w:lang w:eastAsia="en-US"/>
    </w:rPr>
  </w:style>
  <w:style w:type="paragraph" w:styleId="From">
    <w:name w:val="From"/>
    <w:basedOn w:val="Normal"/>
    <w:qFormat/>
    <w:pPr/>
    <w:rPr>
      <w:rFonts w:ascii="Arial" w:hAnsi="Arial" w:cs="Arial"/>
      <w:lang w:eastAsia="en-US"/>
    </w:rPr>
  </w:style>
  <w:style w:type="paragraph" w:styleId="Body">
    <w:name w:val="Body"/>
    <w:basedOn w:val="Normal"/>
    <w:qFormat/>
    <w:pPr>
      <w:ind w:hanging="0" w:start="72" w:end="0"/>
    </w:pPr>
    <w:rPr>
      <w:rFonts w:ascii="Arial" w:hAnsi="Arial" w:cs="Arial"/>
      <w:color w:val="000080"/>
      <w:lang w:eastAsia="en-US"/>
    </w:rPr>
  </w:style>
  <w:style w:type="paragraph" w:styleId="Department">
    <w:name w:val="Department"/>
    <w:basedOn w:val="Normal"/>
    <w:qFormat/>
    <w:pPr/>
    <w:rPr>
      <w:rFonts w:ascii="Arial" w:hAnsi="Arial" w:cs="Arial"/>
      <w:lang w:eastAsia="en-US"/>
    </w:rPr>
  </w:style>
  <w:style w:type="paragraph" w:styleId="BodyTextIndent">
    <w:name w:val="Body Text Indent"/>
    <w:basedOn w:val="Normal"/>
    <w:pPr>
      <w:spacing w:lineRule="atLeast" w:line="240"/>
      <w:ind w:hanging="0" w:start="360" w:end="0"/>
    </w:pPr>
    <w:rPr>
      <w:rFonts w:ascii="Bookman Old Style" w:hAnsi="Bookman Old Style" w:cs="Bookman Old Style"/>
      <w:color w:val="000000"/>
      <w:sz w:val="24"/>
      <w:lang w:eastAsia="en-US"/>
    </w:rPr>
  </w:style>
  <w:style w:type="paragraph" w:styleId="BodyText3">
    <w:name w:val="Body Text 3"/>
    <w:basedOn w:val="Normal"/>
    <w:qFormat/>
    <w:pPr>
      <w:spacing w:lineRule="exact" w:line="240" w:before="120" w:after="120"/>
    </w:pPr>
    <w:rPr>
      <w:rFonts w:ascii="Bookman Old Style" w:hAnsi="Bookman Old Style" w:cs="Bookman Old Style"/>
      <w:sz w:val="24"/>
    </w:rPr>
  </w:style>
  <w:style w:type="paragraph" w:styleId="BodyText2">
    <w:name w:val="Body Text 2"/>
    <w:basedOn w:val="Normal"/>
    <w:qFormat/>
    <w:pPr>
      <w:keepLines/>
      <w:spacing w:lineRule="atLeast" w:line="240"/>
    </w:pPr>
    <w:rPr>
      <w:rFonts w:ascii="Arial" w:hAnsi="Arial" w:cs="Arial"/>
      <w:color w:val="000000"/>
      <w:lang w:eastAsia="en-US"/>
    </w:rPr>
  </w:style>
  <w:style w:type="paragraph" w:styleId="BodyTextIndent2">
    <w:name w:val="Body Text Indent 2"/>
    <w:basedOn w:val="Normal"/>
    <w:qFormat/>
    <w:pPr>
      <w:spacing w:lineRule="atLeast" w:line="240"/>
      <w:ind w:hanging="360" w:start="360" w:end="0"/>
    </w:pPr>
    <w:rPr>
      <w:rFonts w:ascii="Bookman Old Style" w:hAnsi="Bookman Old Style" w:cs="Bookman Old Style"/>
      <w:color w:val="000000"/>
      <w:sz w:val="24"/>
      <w:lang w:eastAsia="en-US"/>
    </w:rPr>
  </w:style>
  <w:style w:type="paragraph" w:styleId="BodyTextIndent3">
    <w:name w:val="Body Text Indent 3"/>
    <w:basedOn w:val="Normal"/>
    <w:qFormat/>
    <w:pPr>
      <w:spacing w:lineRule="atLeast" w:line="240"/>
      <w:ind w:hanging="720" w:start="720" w:end="0"/>
    </w:pPr>
    <w:rPr>
      <w:rFonts w:ascii="Bookman Old Style" w:hAnsi="Bookman Old Style" w:cs="Bookman Old Style"/>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2000-12-13T07:46:00Z</dcterms:created>
  <dc:creator>EIPL-MUM-NG13</dc:creator>
  <dc:description/>
  <dc:language>en-CA</dc:language>
  <cp:lastModifiedBy>Enron Technology</cp:lastModifiedBy>
  <dcterms:modified xsi:type="dcterms:W3CDTF">2000-12-14T08:25:00Z</dcterms:modified>
  <cp:revision>23</cp:revision>
  <dc:subject/>
  <dc:title> </dc:title>
</cp:coreProperties>
</file>