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$20,000,000.</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pPr>
      <w:r>
        <w:rPr>
          <w:rFonts w:cs="Arial Narrow" w:ascii="Arial Narrow" w:hAnsi="Arial Narrow"/>
          <w:sz w:val="18"/>
        </w:rPr>
        <w:t xml:space="preserve">13. </w:t>
      </w:r>
      <w:r>
        <w:rPr>
          <w:rFonts w:cs="Arial Narrow" w:ascii="Arial Narrow" w:hAnsi="Arial Narrow"/>
          <w:b/>
          <w:sz w:val="18"/>
          <w:u w:val="single"/>
        </w:rPr>
        <w:t>DEFINITIONS</w:t>
      </w:r>
    </w:p>
    <w:p>
      <w:pPr>
        <w:pStyle w:val="Normal"/>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bCs/>
          <w:i/>
          <w:iCs/>
          <w:sz w:val="18"/>
          <w:u w:val="single"/>
        </w:rPr>
        <w:t>Depreciation, Depletion and Amortization Expense</w:t>
      </w:r>
      <w:r>
        <w:rPr>
          <w:rFonts w:cs="Arial Narrow" w:ascii="Arial Narrow" w:hAnsi="Arial Narrow"/>
          <w:b/>
          <w:bCs/>
          <w:sz w:val="18"/>
        </w:rPr>
        <w:t>”</w:t>
      </w:r>
      <w:r>
        <w:rPr>
          <w:rFonts w:cs="Arial Narrow" w:ascii="Arial Narrow" w:hAnsi="Arial Narrow"/>
          <w:sz w:val="18"/>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EBITDA to Interest Expense is less than 2 to 1; or (b) Customer shall have long-term debt unsupported by third party credit enhancement that is rated by Standard &amp; Poor's Corporation below BBB-.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Cs/>
          <w:sz w:val="16"/>
        </w:rPr>
      </w:pP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/mnt/main-storage/datasets/enron-docs/doc/Sierra_Pacific__Power_GTC_.DOC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bCs/>
      <w:sz w:val="18"/>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2001-04-10T17:43:00Z</dcterms:created>
  <dc:creator>jdobern</dc:creator>
  <dc:description/>
  <dc:language>en-CA</dc:language>
  <cp:lastModifiedBy>gnemec</cp:lastModifiedBy>
  <cp:lastPrinted>2001-04-23T09:49:00Z</cp:lastPrinted>
  <dcterms:modified xsi:type="dcterms:W3CDTF">2001-04-23T13:17:00Z</dcterms:modified>
  <cp:revision>10</cp:revision>
  <dc:subject/>
  <dc:title>ENFOLIO* FIRM GENERAL TERMS &amp; CONDITIONS      </dc:title>
</cp:coreProperties>
</file>