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_rels/header2.xml.rels" ContentType="application/vnd.openxmlformats-package.relationships+xml"/>
  <Override PartName="/word/_rels/document.xml.rels" ContentType="application/vnd.openxmlformats-package.relationships+xml"/>
  <Override PartName="/word/media/image1.png" ContentType="image/png"/>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sz w:val="20"/>
        </w:rPr>
      </w:pPr>
      <w:r>
        <w:rPr>
          <w:sz w:val="20"/>
        </w:rPr>
      </w:r>
    </w:p>
    <w:p>
      <w:pPr>
        <w:pStyle w:val="Normal"/>
        <w:jc w:val="center"/>
        <w:rPr>
          <w:rFonts w:ascii="Arial Narrow" w:hAnsi="Arial Narrow" w:cs="Arial Narrow"/>
          <w:b/>
          <w:sz w:val="20"/>
        </w:rPr>
      </w:pPr>
      <w:r>
        <w:rPr>
          <w:rFonts w:cs="Arial Narrow" w:ascii="Arial Narrow" w:hAnsi="Arial Narrow"/>
          <w:b/>
          <w:sz w:val="20"/>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b/>
          <w:sz w:val="19"/>
        </w:rPr>
      </w:pPr>
      <w:r>
        <w:rPr>
          <w:rFonts w:cs="Arial Narrow" w:ascii="Arial Narrow" w:hAnsi="Arial Narrow"/>
          <w:b/>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19"/>
        </w:rPr>
      </w:pPr>
      <w:r>
        <w:rPr>
          <w:rFonts w:cs="Arial Narrow" w:ascii="Arial Narrow" w:hAnsi="Arial Narrow"/>
          <w:sz w:val="19"/>
        </w:rPr>
        <w:t>May 1, 2001</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t>Sierra Pacific Power Company</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t>P.O. Box 10100</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t>Reno, Nevada 89520</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t>Attn:  LoreLei Reid, Manager Gas Supply</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19"/>
        </w:rPr>
      </w:pPr>
      <w:r>
        <w:rPr>
          <w:rFonts w:cs="Arial Narrow" w:ascii="Arial Narrow" w:hAnsi="Arial Narrow"/>
          <w:b/>
          <w:sz w:val="20"/>
        </w:rPr>
        <w:t>ENFOLIO</w:t>
      </w:r>
      <w:r>
        <w:rPr>
          <w:rFonts w:cs="Arial Narrow" w:ascii="Symbol" w:hAnsi="Symbol"/>
          <w:b/>
          <w:position w:val="6"/>
          <w:sz w:val="20"/>
        </w:rPr>
        <w:sym w:font="Symbol" w:char="e2"/>
      </w:r>
      <w:r>
        <w:rPr>
          <w:rFonts w:cs="Arial Narrow" w:ascii="Arial Narrow" w:hAnsi="Arial Narrow"/>
          <w:b/>
          <w:position w:val="6"/>
          <w:sz w:val="20"/>
        </w:rPr>
        <w:t xml:space="preserve"> </w:t>
      </w:r>
      <w:r>
        <w:rPr>
          <w:rFonts w:cs="Arial Narrow" w:ascii="Arial Narrow" w:hAnsi="Arial Narrow"/>
          <w:b/>
          <w:sz w:val="20"/>
        </w:rPr>
        <w:t>FIRM  CONFIRMATION--ENFOLIO</w:t>
      </w:r>
      <w:r>
        <w:rPr>
          <w:rFonts w:cs="Arial Narrow" w:ascii="Symbol" w:hAnsi="Symbol"/>
          <w:b/>
          <w:position w:val="6"/>
          <w:sz w:val="20"/>
        </w:rPr>
        <w:sym w:font="Symbol" w:char="e2"/>
      </w:r>
      <w:r>
        <w:rPr>
          <w:rFonts w:cs="Arial Narrow" w:ascii="Arial Narrow" w:hAnsi="Arial Narrow"/>
          <w:b/>
          <w:position w:val="6"/>
          <w:sz w:val="20"/>
        </w:rPr>
        <w:t xml:space="preserve"> </w:t>
      </w:r>
      <w:r>
        <w:rPr>
          <w:rFonts w:cs="Arial Narrow" w:ascii="Arial Narrow" w:hAnsi="Arial Narrow"/>
          <w:b/>
          <w:sz w:val="20"/>
        </w:rPr>
        <w:t>FIRM GENERAL TERMS &amp; CONDITIONS GOVERN</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p>
      <w:pPr>
        <w:pStyle w:val="Normal"/>
        <w:jc w:val="both"/>
        <w:rPr/>
      </w:pPr>
      <w:r>
        <w:rPr>
          <w:rFonts w:cs="Arial Narrow" w:ascii="Arial Narrow" w:hAnsi="Arial Narrow"/>
          <w:sz w:val="20"/>
        </w:rPr>
        <w:t xml:space="preserve">This Firm Confirmation shall confirm the Transaction agreed to on the date hereof and binding between </w:t>
      </w:r>
      <w:r>
        <w:rPr>
          <w:rFonts w:cs="Arial Narrow" w:ascii="Arial Narrow" w:hAnsi="Arial Narrow"/>
          <w:sz w:val="19"/>
        </w:rPr>
        <w:t>Sierra Pacific Power Company</w:t>
      </w:r>
      <w:r>
        <w:rPr>
          <w:rFonts w:cs="Arial Narrow" w:ascii="Arial Narrow" w:hAnsi="Arial Narrow"/>
          <w:sz w:val="20"/>
        </w:rPr>
        <w:t xml:space="preserve"> ("</w:t>
      </w:r>
      <w:r>
        <w:rPr>
          <w:rFonts w:cs="Arial Narrow" w:ascii="Arial Narrow" w:hAnsi="Arial Narrow"/>
          <w:sz w:val="20"/>
          <w:u w:val="single"/>
        </w:rPr>
        <w:t>Customer</w:t>
      </w:r>
      <w:r>
        <w:rPr>
          <w:rFonts w:cs="Arial Narrow" w:ascii="Arial Narrow" w:hAnsi="Arial Narrow"/>
          <w:sz w:val="20"/>
        </w:rPr>
        <w:t xml:space="preserve">") and </w:t>
      </w:r>
      <w:r>
        <w:rPr>
          <w:rFonts w:cs="Arial Narrow" w:ascii="Arial Narrow" w:hAnsi="Arial Narrow"/>
          <w:sz w:val="19"/>
        </w:rPr>
        <w:t xml:space="preserve">Enron North America Corp. </w:t>
      </w:r>
      <w:r>
        <w:rPr>
          <w:rFonts w:cs="Arial Narrow" w:ascii="Arial Narrow" w:hAnsi="Arial Narrow"/>
          <w:sz w:val="20"/>
        </w:rPr>
        <w:t>("</w:t>
      </w:r>
      <w:r>
        <w:rPr>
          <w:rFonts w:cs="Arial Narrow" w:ascii="Arial Narrow" w:hAnsi="Arial Narrow"/>
          <w:sz w:val="20"/>
          <w:u w:val="single"/>
        </w:rPr>
        <w:t>Company</w:t>
      </w:r>
      <w:r>
        <w:rPr>
          <w:rFonts w:cs="Arial Narrow" w:ascii="Arial Narrow" w:hAnsi="Arial Narrow"/>
          <w:sz w:val="20"/>
        </w:rPr>
        <w:t>") regarding the purchase and sale of gas on the following terms.  Customer to purchase and receive (</w:t>
      </w:r>
      <w:r>
        <w:rPr>
          <w:rFonts w:cs="Arial Narrow" w:ascii="Arial Narrow" w:hAnsi="Arial Narrow"/>
          <w:b/>
          <w:sz w:val="20"/>
        </w:rPr>
        <w:t>Buyer</w:t>
      </w:r>
      <w:r>
        <w:rPr>
          <w:rFonts w:cs="Arial Narrow" w:ascii="Arial Narrow" w:hAnsi="Arial Narrow"/>
          <w:sz w:val="20"/>
        </w:rPr>
        <w:t>) and Company to sell and deliver (</w:t>
      </w:r>
      <w:r>
        <w:rPr>
          <w:rFonts w:cs="Arial Narrow" w:ascii="Arial Narrow" w:hAnsi="Arial Narrow"/>
          <w:b/>
          <w:sz w:val="20"/>
        </w:rPr>
        <w:t>Seller</w:t>
      </w:r>
      <w:r>
        <w:rPr>
          <w:rFonts w:cs="Arial Narrow" w:ascii="Arial Narrow" w:hAnsi="Arial Narrow"/>
          <w:sz w:val="20"/>
        </w:rPr>
        <w:t>).</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p>
      <w:pPr>
        <w:pStyle w:val="BodyTextIndent2"/>
        <w:tabs>
          <w:tab w:val="clear" w:pos="720"/>
          <w:tab w:val="left" w:pos="4680" w:leader="none"/>
        </w:tabs>
        <w:ind w:hanging="4680" w:end="0"/>
        <w:rPr/>
      </w:pPr>
      <w:r>
        <w:rPr/>
        <w:t>DAILY CONTRACT QUANTITY (DCQ):</w:t>
        <w:tab/>
        <w:t xml:space="preserve">24,000 MMBtu Per Day.  In the event that the Company is allocated a portion of transportation capacity on the Kern Expansion (hereafter defined) that provides for a delivered volume, which is less than the DCQ, then the DCQ shall be revised to equal that portion of the transporation capacity allocated to Company.  For the purposes of this Firm Confirmation, “Kern Expansion” shall mean that expansion of Kern River Gas Transmission Company’s (“Kern River”) pipeline system as defined in the Federal Energy Regulatory Commission’s (“FERC”) Docket No. CP01-106. </w:t>
      </w:r>
    </w:p>
    <w:p>
      <w:pPr>
        <w:pStyle w:val="Normal"/>
        <w:tabs>
          <w:tab w:val="clear" w:pos="720"/>
          <w:tab w:val="left" w:pos="8640" w:leader="none"/>
        </w:tabs>
        <w:ind w:hanging="4680" w:start="4680" w:end="0"/>
        <w:jc w:val="both"/>
        <w:rPr>
          <w:rFonts w:ascii="Arial Narrow" w:hAnsi="Arial Narrow" w:cs="Arial Narrow"/>
          <w:sz w:val="19"/>
        </w:rPr>
      </w:pPr>
      <w:r>
        <w:rPr>
          <w:rFonts w:cs="Arial Narrow" w:ascii="Arial Narrow" w:hAnsi="Arial Narrow"/>
          <w:sz w:val="19"/>
        </w:rPr>
        <w:t>DELIVERY POINT(S):</w:t>
        <w:tab/>
        <w:t xml:space="preserve">At the interconnect between Kern River and SOCAL, Kern River Meter # 025011, commonly known as “Wheeler Ridge”.  </w:t>
      </w:r>
    </w:p>
    <w:p>
      <w:pPr>
        <w:pStyle w:val="Normal"/>
        <w:tabs>
          <w:tab w:val="clear" w:pos="720"/>
          <w:tab w:val="left" w:pos="8640" w:leader="none"/>
        </w:tabs>
        <w:ind w:hanging="4680" w:start="4680" w:end="0"/>
        <w:jc w:val="both"/>
        <w:rPr/>
      </w:pPr>
      <w:r>
        <w:rPr>
          <w:rFonts w:cs="Arial Narrow" w:ascii="Arial Narrow" w:hAnsi="Arial Narrow"/>
          <w:sz w:val="19"/>
        </w:rPr>
        <w:t>ALTERNATIVE DELIVERY POINT(S):</w:t>
        <w:tab/>
        <w:t>Customer may request delivery of all or some portion of the DCQ to be delivered to all other points available on the Kern River pipeline system as available in accordance with the terms and conditions of (i) Company’s transportation agreement(s) with Kern River and (ii) Kern River’s FERC gas tariff (an “</w:t>
      </w:r>
      <w:r>
        <w:rPr>
          <w:rFonts w:cs="Arial Narrow" w:ascii="Arial Narrow" w:hAnsi="Arial Narrow"/>
          <w:sz w:val="19"/>
          <w:u w:val="single"/>
        </w:rPr>
        <w:t>Alternative Delivery Point</w:t>
      </w:r>
      <w:r>
        <w:rPr>
          <w:rFonts w:cs="Arial Narrow" w:ascii="Arial Narrow" w:hAnsi="Arial Narrow"/>
          <w:sz w:val="19"/>
        </w:rPr>
        <w:t xml:space="preserve">”) by providing Company notice of such request.  To nominate delivery of all or some portion of the DCQ to an Alternative Delivery Point, Customer shall provide Company with such nomination notice at least one (1) hour prior to Kern River’s nomination deadlines as set forth in Kern River’s FERC gas tariff.  </w:t>
      </w:r>
    </w:p>
    <w:p>
      <w:pPr>
        <w:pStyle w:val="Normal"/>
        <w:tabs>
          <w:tab w:val="clear" w:pos="720"/>
          <w:tab w:val="left" w:pos="8640" w:leader="none"/>
        </w:tabs>
        <w:ind w:hanging="4680" w:start="4680" w:end="0"/>
        <w:jc w:val="both"/>
        <w:rPr/>
      </w:pPr>
      <w:r>
        <w:rPr>
          <w:rFonts w:cs="Arial Narrow" w:ascii="Arial Narrow" w:hAnsi="Arial Narrow"/>
          <w:sz w:val="19"/>
        </w:rPr>
        <w:t>CONTRACT PRICE (per MMBtu):</w:t>
        <w:tab/>
      </w:r>
      <w:r>
        <w:rPr>
          <w:rFonts w:cs="Arial Narrow" w:ascii="Arial Narrow" w:hAnsi="Arial Narrow"/>
          <w:sz w:val="19"/>
          <w:u w:val="single"/>
        </w:rPr>
        <w:t>Natural Gas Intelligence Gas Price Index</w:t>
      </w:r>
      <w:r>
        <w:rPr>
          <w:rFonts w:cs="Arial Narrow" w:ascii="Arial Narrow" w:hAnsi="Arial Narrow"/>
          <w:sz w:val="19"/>
        </w:rPr>
        <w:t>, in the first issue of the delivery Month, in the table titled “California Border”, on the line titled “Southern California Border” minus $0.42 per MMBtu.</w:t>
      </w:r>
    </w:p>
    <w:p>
      <w:pPr>
        <w:pStyle w:val="Normal"/>
        <w:tabs>
          <w:tab w:val="clear" w:pos="720"/>
          <w:tab w:val="left" w:pos="8640" w:leader="none"/>
        </w:tabs>
        <w:ind w:hanging="4680" w:start="4680" w:end="0"/>
        <w:jc w:val="both"/>
        <w:rPr>
          <w:rFonts w:ascii="Arial Narrow" w:hAnsi="Arial Narrow" w:cs="Arial Narrow"/>
          <w:iCs/>
          <w:sz w:val="19"/>
        </w:rPr>
      </w:pPr>
      <w:r>
        <w:rPr>
          <w:rFonts w:cs="Arial Narrow" w:ascii="Arial Narrow" w:hAnsi="Arial Narrow"/>
          <w:sz w:val="19"/>
        </w:rPr>
        <w:t xml:space="preserve">PERIOD OF DELIVERY:  </w:t>
        <w:tab/>
        <w:t>The Period of Delivery shall commence on August 1, 2001 and end on April 30, 2002</w:t>
      </w:r>
      <w:r>
        <w:rPr>
          <w:rFonts w:cs="Arial Narrow" w:ascii="Arial Narrow" w:hAnsi="Arial Narrow"/>
          <w:i/>
          <w:sz w:val="19"/>
        </w:rPr>
        <w:t>.</w:t>
      </w:r>
      <w:r>
        <w:rPr>
          <w:rFonts w:cs="Arial Narrow" w:ascii="Arial Narrow" w:hAnsi="Arial Narrow"/>
          <w:iCs/>
          <w:sz w:val="19"/>
        </w:rPr>
        <w:t xml:space="preserve">  In the event that the </w:t>
      </w:r>
      <w:r>
        <w:rPr>
          <w:rFonts w:cs="Arial Narrow" w:ascii="Arial Narrow" w:hAnsi="Arial Narrow"/>
          <w:sz w:val="19"/>
        </w:rPr>
        <w:t xml:space="preserve">in-service date of the Kern Expansion is delayed past August 1, 2001, then the Period of Delivery shall commence on September 1, 2001.  </w:t>
      </w:r>
      <w:r>
        <w:rPr>
          <w:rFonts w:cs="Arial Narrow" w:ascii="Arial Narrow" w:hAnsi="Arial Narrow"/>
          <w:iCs/>
          <w:sz w:val="19"/>
        </w:rPr>
        <w:t xml:space="preserve">In the event that the </w:t>
      </w:r>
      <w:r>
        <w:rPr>
          <w:rFonts w:cs="Arial Narrow" w:ascii="Arial Narrow" w:hAnsi="Arial Narrow"/>
          <w:sz w:val="19"/>
        </w:rPr>
        <w:t>in-service date of the Kern Expansion is delayed past September 1, 2001, then the Period of Delivery shall commence on October 1, 2001.</w:t>
      </w:r>
      <w:r>
        <w:rPr>
          <w:rFonts w:cs="Arial Narrow" w:ascii="Arial Narrow" w:hAnsi="Arial Narrow"/>
          <w:i/>
          <w:sz w:val="19"/>
        </w:rPr>
        <w:t xml:space="preserve">   </w:t>
      </w:r>
    </w:p>
    <w:p>
      <w:pPr>
        <w:pStyle w:val="Normal"/>
        <w:tabs>
          <w:tab w:val="clear" w:pos="720"/>
          <w:tab w:val="left" w:pos="8640" w:leader="none"/>
        </w:tabs>
        <w:ind w:hanging="4680" w:start="4680" w:end="0"/>
        <w:jc w:val="both"/>
        <w:rPr>
          <w:rFonts w:ascii="Arial Narrow" w:hAnsi="Arial Narrow" w:cs="Arial Narrow"/>
          <w:sz w:val="19"/>
        </w:rPr>
      </w:pPr>
      <w:r>
        <w:rPr>
          <w:rFonts w:cs="Arial Narrow" w:ascii="Arial Narrow" w:hAnsi="Arial Narrow"/>
          <w:sz w:val="19"/>
        </w:rPr>
        <w:t>SPOT PRICE LOCATION:</w:t>
        <w:tab/>
        <w:t>N/A</w:t>
      </w:r>
    </w:p>
    <w:p>
      <w:pPr>
        <w:pStyle w:val="Normal"/>
        <w:tabs>
          <w:tab w:val="clear" w:pos="720"/>
          <w:tab w:val="left" w:pos="8640" w:leader="none"/>
        </w:tabs>
        <w:ind w:hanging="4680" w:start="4680" w:end="0"/>
        <w:jc w:val="both"/>
        <w:rPr>
          <w:rFonts w:ascii="Arial Narrow" w:hAnsi="Arial Narrow" w:cs="Arial Narrow"/>
          <w:sz w:val="19"/>
        </w:rPr>
      </w:pPr>
      <w:r>
        <w:rPr>
          <w:rFonts w:cs="Arial Narrow" w:ascii="Arial Narrow" w:hAnsi="Arial Narrow"/>
          <w:sz w:val="19"/>
        </w:rPr>
        <w:t>FORCE MAJEURE:</w:t>
        <w:tab/>
        <w:t>Notwithstanding anything to the contrary contained in the Firm GTC (hereafter defined), an event of Force Majeure under this Firm Confirmation by Seller shall include the loss or failure of Seller's Gas supply.</w:t>
      </w:r>
    </w:p>
    <w:p>
      <w:pPr>
        <w:pStyle w:val="Normal"/>
        <w:tabs>
          <w:tab w:val="clear" w:pos="720"/>
          <w:tab w:val="left" w:pos="8640" w:leader="none"/>
        </w:tabs>
        <w:ind w:hanging="4680" w:start="4680" w:end="0"/>
        <w:jc w:val="both"/>
        <w:rPr>
          <w:rFonts w:ascii="Arial Narrow" w:hAnsi="Arial Narrow" w:cs="Arial Narrow"/>
          <w:sz w:val="19"/>
        </w:rPr>
      </w:pPr>
      <w:r>
        <w:rPr>
          <w:rFonts w:cs="Arial Narrow" w:ascii="Arial Narrow" w:hAnsi="Arial Narrow"/>
          <w:sz w:val="19"/>
        </w:rPr>
        <w:t>NETTING:</w:t>
        <w:tab/>
      </w:r>
      <w:r>
        <w:rPr>
          <w:rFonts w:cs="Arial Narrow" w:ascii="Arial Narrow" w:hAnsi="Arial Narrow"/>
          <w:color w:val="000000"/>
          <w:sz w:val="19"/>
        </w:rPr>
        <w:t>After calculation of a Termination Payment in accordance with Section 3 of the Firm GTC, if the Affected Party would be owed the Termination Payment, the Notifying Party shall be entitled, at its option and in its discretion, to (i) set off against such Termination Payment any amounts due and owing by the Affected Party or any of its Affiliates to the Notifying Party or any of its Affiliates under any other natural gas, energy or other commodity or financial agreements, instruments or undertakings between the Affected Party or any of its Affiliates and the Notifying Party or any of its Affiliates.</w:t>
      </w:r>
      <w:r>
        <w:rPr>
          <w:rFonts w:cs="Arial Narrow" w:ascii="Arial Narrow" w:hAnsi="Arial Narrow"/>
          <w:color w:val="000000"/>
        </w:rPr>
        <w:t xml:space="preserve">   </w:t>
      </w:r>
    </w:p>
    <w:p>
      <w:pPr>
        <w:pStyle w:val="Normal"/>
        <w:ind w:hanging="4680" w:start="4680" w:end="0"/>
        <w:jc w:val="both"/>
        <w:rPr/>
      </w:pPr>
      <w:r>
        <w:rPr>
          <w:rFonts w:cs="Arial Narrow" w:ascii="Arial Narrow" w:hAnsi="Arial Narrow"/>
          <w:sz w:val="19"/>
        </w:rPr>
        <w:t>OTHER:</w:t>
        <w:tab/>
      </w:r>
      <w:r>
        <w:rPr>
          <w:rFonts w:cs="Arial Narrow" w:ascii="Arial Narrow" w:hAnsi="Arial Narrow"/>
          <w:sz w:val="19"/>
          <w:u w:val="single"/>
        </w:rPr>
        <w:t>Conditions Precedent</w:t>
      </w:r>
      <w:r>
        <w:rPr>
          <w:rFonts w:cs="Arial Narrow" w:ascii="Arial Narrow" w:hAnsi="Arial Narrow"/>
          <w:sz w:val="19"/>
        </w:rPr>
        <w:t>.  Seller obligations under this Firm Confirmation are expressly subject to the following conditions precedent:</w:t>
      </w:r>
    </w:p>
    <w:p>
      <w:pPr>
        <w:pStyle w:val="Normal"/>
        <w:numPr>
          <w:ilvl w:val="0"/>
          <w:numId w:val="2"/>
        </w:numPr>
        <w:jc w:val="both"/>
        <w:rPr>
          <w:rFonts w:ascii="Arial Narrow" w:hAnsi="Arial Narrow" w:cs="Arial Narrow"/>
          <w:sz w:val="19"/>
        </w:rPr>
      </w:pPr>
      <w:r>
        <w:rPr>
          <w:rFonts w:cs="Arial Narrow" w:ascii="Arial Narrow" w:hAnsi="Arial Narrow"/>
          <w:sz w:val="19"/>
        </w:rPr>
        <w:t>Receipt and acceptance by Kern River of (i) a final and non-appealable FERC certificate for the Kern Expansion, and (ii) all other necessary permits and regulatory approvals for construction and operation of the Kern Expansion.</w:t>
      </w:r>
    </w:p>
    <w:p>
      <w:pPr>
        <w:pStyle w:val="Normal"/>
        <w:numPr>
          <w:ilvl w:val="0"/>
          <w:numId w:val="2"/>
        </w:numPr>
        <w:jc w:val="both"/>
        <w:rPr>
          <w:rFonts w:ascii="Arial Narrow" w:hAnsi="Arial Narrow" w:cs="Arial Narrow"/>
          <w:i/>
          <w:i/>
          <w:iCs/>
          <w:sz w:val="19"/>
        </w:rPr>
      </w:pPr>
      <w:r>
        <w:rPr>
          <w:rFonts w:cs="Arial Narrow" w:ascii="Arial Narrow" w:hAnsi="Arial Narrow"/>
          <w:sz w:val="19"/>
        </w:rPr>
        <w:t>All rights of Kern River to terminate all precedent agreements and/or transporation agreements necessary for Seller to transport the DCQ on the Kern Expansion, have expired or been waived in accordance with the terms and conditions of such transportation agreements.</w:t>
      </w:r>
    </w:p>
    <w:p>
      <w:pPr>
        <w:pStyle w:val="BodyTextIndent2"/>
        <w:rPr/>
      </w:pPr>
      <w:r>
        <w:rPr/>
        <w:tab/>
        <w:tab/>
        <w:tab/>
      </w:r>
    </w:p>
    <w:p>
      <w:pPr>
        <w:pStyle w:val="Normal"/>
        <w:tabs>
          <w:tab w:val="clear" w:pos="720"/>
          <w:tab w:val="center" w:pos="10800" w:leader="none"/>
        </w:tabs>
        <w:jc w:val="both"/>
        <w:rPr>
          <w:rFonts w:ascii="Arial Narrow" w:hAnsi="Arial Narrow" w:cs="Arial Narrow"/>
          <w:b/>
          <w:sz w:val="20"/>
        </w:rPr>
      </w:pPr>
      <w:r>
        <w:rPr>
          <w:rFonts w:cs="Arial Narrow" w:ascii="Arial Narrow" w:hAnsi="Arial Narrow"/>
          <w:b/>
          <w:sz w:val="20"/>
        </w:rPr>
      </w:r>
    </w:p>
    <w:p>
      <w:pPr>
        <w:pStyle w:val="Normal"/>
        <w:tabs>
          <w:tab w:val="clear" w:pos="720"/>
          <w:tab w:val="center" w:pos="10800" w:leader="none"/>
        </w:tabs>
        <w:jc w:val="both"/>
        <w:rPr>
          <w:rFonts w:ascii="Arial Narrow" w:hAnsi="Arial Narrow" w:cs="Arial Narrow"/>
          <w:sz w:val="20"/>
        </w:rPr>
      </w:pPr>
      <w:r>
        <w:rPr>
          <w:rFonts w:cs="Arial Narrow" w:ascii="Arial Narrow" w:hAnsi="Arial Narrow"/>
          <w:b/>
          <w:sz w:val="20"/>
        </w:rPr>
        <w:t>NOTICE AND COMMUNICATION TO  COMPANY, AS FOLLOWS:</w:t>
      </w:r>
    </w:p>
    <w:p>
      <w:pPr>
        <w:pStyle w:val="Normal"/>
        <w:tabs>
          <w:tab w:val="clear" w:pos="720"/>
          <w:tab w:val="left" w:pos="8460" w:leader="none"/>
        </w:tabs>
        <w:ind w:hanging="5400" w:start="5400" w:end="0"/>
        <w:jc w:val="both"/>
        <w:rPr>
          <w:rFonts w:ascii="Arial Narrow" w:hAnsi="Arial Narrow" w:cs="Arial Narrow"/>
          <w:b/>
          <w:sz w:val="20"/>
        </w:rPr>
      </w:pPr>
      <w:r>
        <w:rPr>
          <w:rFonts w:cs="Arial Narrow" w:ascii="Arial Narrow" w:hAnsi="Arial Narrow"/>
          <w:b/>
          <w:sz w:val="20"/>
        </w:rPr>
        <w:t>NOTICE TO COMPANY:</w:t>
      </w:r>
    </w:p>
    <w:p>
      <w:pPr>
        <w:pStyle w:val="Normal"/>
        <w:tabs>
          <w:tab w:val="clear" w:pos="720"/>
          <w:tab w:val="left" w:pos="9000" w:leader="none"/>
        </w:tabs>
        <w:ind w:hanging="5400" w:start="5400" w:end="0"/>
        <w:jc w:val="both"/>
        <w:rPr>
          <w:rFonts w:ascii="Arial Narrow" w:hAnsi="Arial Narrow" w:cs="Arial Narrow"/>
          <w:sz w:val="20"/>
        </w:rPr>
      </w:pPr>
      <w:r>
        <w:rPr>
          <w:rFonts w:cs="Arial Narrow" w:ascii="Arial Narrow" w:hAnsi="Arial Narrow"/>
          <w:sz w:val="20"/>
        </w:rPr>
        <w:t>P. O. Box 4428</w:t>
      </w:r>
    </w:p>
    <w:p>
      <w:pPr>
        <w:pStyle w:val="Normal"/>
        <w:tabs>
          <w:tab w:val="clear" w:pos="720"/>
          <w:tab w:val="center" w:pos="5400" w:leader="none"/>
          <w:tab w:val="left" w:pos="9000" w:leader="none"/>
        </w:tabs>
        <w:ind w:hanging="5400" w:start="5400" w:end="0"/>
        <w:jc w:val="both"/>
        <w:rPr>
          <w:rFonts w:ascii="Arial Narrow" w:hAnsi="Arial Narrow" w:cs="Arial Narrow"/>
          <w:sz w:val="20"/>
        </w:rPr>
      </w:pPr>
      <w:r>
        <w:rPr>
          <w:rFonts w:cs="Arial Narrow" w:ascii="Arial Narrow" w:hAnsi="Arial Narrow"/>
          <w:sz w:val="20"/>
        </w:rPr>
        <w:t>Houston, Texas  77210-4428</w:t>
      </w:r>
    </w:p>
    <w:p>
      <w:pPr>
        <w:pStyle w:val="Normal"/>
        <w:tabs>
          <w:tab w:val="clear" w:pos="720"/>
          <w:tab w:val="center" w:pos="5400" w:leader="none"/>
          <w:tab w:val="left" w:pos="9000" w:leader="none"/>
        </w:tabs>
        <w:ind w:hanging="5400" w:start="5400" w:end="0"/>
        <w:jc w:val="both"/>
        <w:rPr>
          <w:rFonts w:ascii="Arial Narrow" w:hAnsi="Arial Narrow" w:cs="Arial Narrow"/>
          <w:sz w:val="20"/>
        </w:rPr>
      </w:pPr>
      <w:r>
        <w:rPr>
          <w:rFonts w:cs="Arial Narrow" w:ascii="Arial Narrow" w:hAnsi="Arial Narrow"/>
          <w:sz w:val="20"/>
        </w:rPr>
        <w:t>Attn:  Confirmation/Documentation</w:t>
      </w:r>
    </w:p>
    <w:p>
      <w:pPr>
        <w:pStyle w:val="Normal"/>
        <w:tabs>
          <w:tab w:val="clear" w:pos="720"/>
          <w:tab w:val="center" w:pos="5400" w:leader="none"/>
          <w:tab w:val="left" w:pos="9000" w:leader="none"/>
        </w:tabs>
        <w:ind w:hanging="5400" w:start="5400" w:end="0"/>
        <w:jc w:val="both"/>
        <w:rPr>
          <w:rFonts w:ascii="Arial Narrow" w:hAnsi="Arial Narrow" w:cs="Arial Narrow"/>
          <w:sz w:val="20"/>
        </w:rPr>
      </w:pPr>
      <w:r>
        <w:rPr>
          <w:rFonts w:cs="Arial Narrow" w:ascii="Arial Narrow" w:hAnsi="Arial Narrow"/>
          <w:sz w:val="20"/>
        </w:rPr>
        <w:t>Facsimile No. (713) 646-4816</w:t>
      </w:r>
    </w:p>
    <w:p>
      <w:pPr>
        <w:pStyle w:val="Normal"/>
        <w:tabs>
          <w:tab w:val="clear" w:pos="720"/>
          <w:tab w:val="left" w:pos="9000" w:leader="none"/>
        </w:tabs>
        <w:ind w:hanging="5400" w:start="5400" w:end="0"/>
        <w:jc w:val="both"/>
        <w:rPr>
          <w:rFonts w:ascii="Arial Narrow" w:hAnsi="Arial Narrow" w:cs="Arial Narrow"/>
          <w:b/>
          <w:sz w:val="20"/>
        </w:rPr>
      </w:pPr>
      <w:r>
        <w:rPr>
          <w:rFonts w:cs="Arial Narrow" w:ascii="Arial Narrow" w:hAnsi="Arial Narrow"/>
          <w:b/>
          <w:sz w:val="20"/>
        </w:rPr>
        <w:t>BILLING, INVOICES AND ACCOUNTING MATTERS TO COMPANY:</w:t>
      </w:r>
    </w:p>
    <w:p>
      <w:pPr>
        <w:pStyle w:val="Normal"/>
        <w:tabs>
          <w:tab w:val="clear" w:pos="720"/>
          <w:tab w:val="left" w:pos="9000" w:leader="none"/>
        </w:tabs>
        <w:ind w:hanging="5400" w:start="5400" w:end="0"/>
        <w:jc w:val="both"/>
        <w:rPr>
          <w:rFonts w:ascii="Arial Narrow" w:hAnsi="Arial Narrow" w:cs="Arial Narrow"/>
          <w:sz w:val="20"/>
        </w:rPr>
      </w:pPr>
      <w:r>
        <w:rPr>
          <w:rFonts w:cs="Arial Narrow" w:ascii="Arial Narrow" w:hAnsi="Arial Narrow"/>
          <w:sz w:val="20"/>
        </w:rPr>
        <w:t>P. O. Box 4428</w:t>
      </w:r>
    </w:p>
    <w:p>
      <w:pPr>
        <w:pStyle w:val="Normal"/>
        <w:tabs>
          <w:tab w:val="clear" w:pos="720"/>
          <w:tab w:val="left" w:pos="9000" w:leader="none"/>
        </w:tabs>
        <w:ind w:hanging="5400" w:start="5400" w:end="0"/>
        <w:jc w:val="both"/>
        <w:rPr>
          <w:rFonts w:ascii="Arial Narrow" w:hAnsi="Arial Narrow" w:cs="Arial Narrow"/>
          <w:sz w:val="20"/>
        </w:rPr>
      </w:pPr>
      <w:r>
        <w:rPr>
          <w:rFonts w:cs="Arial Narrow" w:ascii="Arial Narrow" w:hAnsi="Arial Narrow"/>
          <w:sz w:val="20"/>
        </w:rPr>
        <w:t>Houston, Texas  77210-4428</w:t>
      </w:r>
    </w:p>
    <w:p>
      <w:pPr>
        <w:pStyle w:val="Normal"/>
        <w:tabs>
          <w:tab w:val="clear" w:pos="720"/>
          <w:tab w:val="left" w:pos="9000" w:leader="none"/>
        </w:tabs>
        <w:ind w:hanging="5400" w:start="5400" w:end="0"/>
        <w:jc w:val="both"/>
        <w:rPr>
          <w:rFonts w:ascii="Arial Narrow" w:hAnsi="Arial Narrow" w:cs="Arial Narrow"/>
          <w:sz w:val="20"/>
        </w:rPr>
      </w:pPr>
      <w:r>
        <w:rPr>
          <w:rFonts w:cs="Arial Narrow" w:ascii="Arial Narrow" w:hAnsi="Arial Narrow"/>
          <w:sz w:val="20"/>
        </w:rPr>
        <w:t>Attn: Contract Settlement</w:t>
      </w:r>
    </w:p>
    <w:p>
      <w:pPr>
        <w:pStyle w:val="Normal"/>
        <w:tabs>
          <w:tab w:val="clear" w:pos="720"/>
          <w:tab w:val="left" w:pos="9000" w:leader="none"/>
        </w:tabs>
        <w:ind w:hanging="5400" w:start="5400" w:end="0"/>
        <w:jc w:val="both"/>
        <w:rPr>
          <w:rFonts w:ascii="Arial Narrow" w:hAnsi="Arial Narrow" w:cs="Arial Narrow"/>
          <w:sz w:val="20"/>
        </w:rPr>
      </w:pPr>
      <w:r>
        <w:rPr>
          <w:rFonts w:cs="Arial Narrow" w:ascii="Arial Narrow" w:hAnsi="Arial Narrow"/>
          <w:sz w:val="20"/>
        </w:rPr>
        <w:t>Facsimile No. (713) 646-8420</w:t>
      </w:r>
    </w:p>
    <w:p>
      <w:pPr>
        <w:pStyle w:val="Normal"/>
        <w:tabs>
          <w:tab w:val="clear" w:pos="720"/>
          <w:tab w:val="left" w:pos="9000" w:leader="none"/>
        </w:tabs>
        <w:ind w:hanging="5400" w:start="5400" w:end="0"/>
        <w:jc w:val="both"/>
        <w:rPr>
          <w:rFonts w:ascii="Arial Narrow" w:hAnsi="Arial Narrow" w:cs="Arial Narrow"/>
          <w:b/>
          <w:sz w:val="20"/>
        </w:rPr>
      </w:pPr>
      <w:r>
        <w:rPr>
          <w:rFonts w:cs="Arial Narrow" w:ascii="Arial Narrow" w:hAnsi="Arial Narrow"/>
          <w:b/>
          <w:sz w:val="20"/>
        </w:rPr>
        <w:t>WIRE PAYMENTS TO COMPANY:</w:t>
      </w:r>
    </w:p>
    <w:p>
      <w:pPr>
        <w:pStyle w:val="Normal"/>
        <w:tabs>
          <w:tab w:val="clear" w:pos="720"/>
          <w:tab w:val="center" w:pos="5760" w:leader="none"/>
        </w:tabs>
        <w:jc w:val="both"/>
        <w:rPr>
          <w:rFonts w:ascii="Arial Narrow" w:hAnsi="Arial Narrow" w:cs="Arial Narrow"/>
          <w:sz w:val="20"/>
        </w:rPr>
      </w:pPr>
      <w:r>
        <w:rPr>
          <w:rFonts w:cs="Arial Narrow" w:ascii="Arial Narrow" w:hAnsi="Arial Narrow"/>
          <w:sz w:val="20"/>
        </w:rPr>
        <w:t>Enron North America Corp.</w:t>
      </w:r>
    </w:p>
    <w:p>
      <w:pPr>
        <w:pStyle w:val="Normal"/>
        <w:tabs>
          <w:tab w:val="clear" w:pos="720"/>
          <w:tab w:val="center" w:pos="5760" w:leader="none"/>
        </w:tabs>
        <w:jc w:val="both"/>
        <w:rPr>
          <w:rFonts w:ascii="Arial Narrow" w:hAnsi="Arial Narrow" w:cs="Arial Narrow"/>
          <w:sz w:val="20"/>
        </w:rPr>
      </w:pPr>
      <w:r>
        <w:rPr>
          <w:rFonts w:cs="Arial Narrow" w:ascii="Arial Narrow" w:hAnsi="Arial Narrow"/>
          <w:sz w:val="20"/>
        </w:rPr>
        <w:t>ABA Routing 111000012 NationsBank Tx, Account 3750494099</w:t>
      </w:r>
    </w:p>
    <w:p>
      <w:pPr>
        <w:pStyle w:val="Normal"/>
        <w:tabs>
          <w:tab w:val="clear" w:pos="720"/>
          <w:tab w:val="left" w:pos="9000" w:leader="none"/>
        </w:tabs>
        <w:ind w:hanging="5400" w:start="5400" w:end="0"/>
        <w:jc w:val="both"/>
        <w:rPr>
          <w:rFonts w:ascii="Arial Narrow" w:hAnsi="Arial Narrow" w:cs="Arial Narrow"/>
          <w:b/>
          <w:sz w:val="20"/>
        </w:rPr>
      </w:pPr>
      <w:r>
        <w:rPr>
          <w:rFonts w:cs="Arial Narrow" w:ascii="Arial Narrow" w:hAnsi="Arial Narrow"/>
          <w:b/>
          <w:sz w:val="20"/>
        </w:rPr>
        <w:t>NOMINATIONS TO COMPANY:</w:t>
      </w:r>
    </w:p>
    <w:p>
      <w:pPr>
        <w:pStyle w:val="Normal"/>
        <w:tabs>
          <w:tab w:val="clear" w:pos="720"/>
          <w:tab w:val="left" w:pos="9000" w:leader="none"/>
        </w:tabs>
        <w:ind w:hanging="5400" w:start="5400" w:end="0"/>
        <w:jc w:val="both"/>
        <w:rPr>
          <w:rFonts w:ascii="Arial Narrow" w:hAnsi="Arial Narrow" w:cs="Arial Narrow"/>
          <w:sz w:val="20"/>
        </w:rPr>
      </w:pPr>
      <w:r>
        <w:rPr>
          <w:rFonts w:cs="Arial Narrow" w:ascii="Arial Narrow" w:hAnsi="Arial Narrow"/>
          <w:sz w:val="20"/>
        </w:rPr>
        <w:t>1(800)356-9427/1(800)FLOWGAS</w:t>
      </w:r>
    </w:p>
    <w:p>
      <w:pPr>
        <w:pStyle w:val="Normal"/>
        <w:tabs>
          <w:tab w:val="clear" w:pos="720"/>
          <w:tab w:val="left" w:pos="9000" w:leader="none"/>
        </w:tabs>
        <w:ind w:hanging="5400" w:start="5400" w:end="0"/>
        <w:jc w:val="both"/>
        <w:rPr>
          <w:rFonts w:ascii="Arial Narrow" w:hAnsi="Arial Narrow" w:cs="Arial Narrow"/>
          <w:b/>
          <w:sz w:val="20"/>
        </w:rPr>
      </w:pPr>
      <w:r>
        <w:rPr>
          <w:rFonts w:cs="Arial Narrow" w:ascii="Arial Narrow" w:hAnsi="Arial Narrow"/>
          <w:b/>
          <w:sz w:val="20"/>
        </w:rPr>
        <w:t xml:space="preserve">CONFIRMATIONS TO COMPANY: </w:t>
      </w:r>
    </w:p>
    <w:p>
      <w:pPr>
        <w:pStyle w:val="Normal"/>
        <w:tabs>
          <w:tab w:val="clear" w:pos="720"/>
          <w:tab w:val="left" w:pos="9000" w:leader="none"/>
        </w:tabs>
        <w:ind w:hanging="5400" w:start="5400" w:end="0"/>
        <w:jc w:val="both"/>
        <w:rPr>
          <w:rFonts w:ascii="Arial Narrow" w:hAnsi="Arial Narrow" w:cs="Arial Narrow"/>
          <w:sz w:val="20"/>
        </w:rPr>
      </w:pPr>
      <w:r>
        <w:rPr>
          <w:rFonts w:cs="Arial Narrow" w:ascii="Arial Narrow" w:hAnsi="Arial Narrow"/>
          <w:sz w:val="20"/>
        </w:rPr>
        <w:t>Attn: ENA Gas Trading</w:t>
      </w:r>
    </w:p>
    <w:p>
      <w:pPr>
        <w:pStyle w:val="Normal"/>
        <w:tabs>
          <w:tab w:val="clear" w:pos="720"/>
          <w:tab w:val="left" w:pos="9000" w:leader="none"/>
        </w:tabs>
        <w:ind w:hanging="5400" w:start="5400" w:end="0"/>
        <w:jc w:val="both"/>
        <w:rPr>
          <w:rFonts w:ascii="Arial Narrow" w:hAnsi="Arial Narrow" w:cs="Arial Narrow"/>
          <w:sz w:val="20"/>
        </w:rPr>
      </w:pPr>
      <w:r>
        <w:rPr>
          <w:rFonts w:cs="Arial Narrow" w:ascii="Arial Narrow" w:hAnsi="Arial Narrow"/>
          <w:sz w:val="20"/>
        </w:rPr>
        <w:t>Facsimile No:  (713) 646-2531</w:t>
      </w:r>
    </w:p>
    <w:p>
      <w:pPr>
        <w:pStyle w:val="Normal"/>
        <w:jc w:val="both"/>
        <w:rPr>
          <w:rFonts w:ascii="Arial Narrow" w:hAnsi="Arial Narrow" w:cs="Arial Narrow"/>
          <w:sz w:val="20"/>
        </w:rPr>
      </w:pPr>
      <w:r>
        <w:rPr>
          <w:rFonts w:cs="Arial Narrow" w:ascii="Arial Narrow" w:hAnsi="Arial Narrow"/>
          <w:sz w:val="20"/>
        </w:rPr>
      </w:r>
    </w:p>
    <w:p>
      <w:pPr>
        <w:pStyle w:val="Normal"/>
        <w:jc w:val="both"/>
        <w:rPr/>
      </w:pPr>
      <w:r>
        <w:rPr>
          <w:rFonts w:cs="Arial Narrow" w:ascii="Arial Narrow" w:hAnsi="Arial Narrow"/>
          <w:sz w:val="20"/>
        </w:rPr>
        <w:t>This Firm Confirmation is being provided pursuant to and in accordance with the ENFOLIO FIRM GENERAL TERMS &amp; CONDITIONS (the "</w:t>
      </w:r>
      <w:r>
        <w:rPr>
          <w:rFonts w:cs="Arial Narrow" w:ascii="Arial Narrow" w:hAnsi="Arial Narrow"/>
          <w:sz w:val="20"/>
          <w:u w:val="single"/>
        </w:rPr>
        <w:t>Firm GTC</w:t>
      </w:r>
      <w:r>
        <w:rPr>
          <w:rFonts w:cs="Arial Narrow" w:ascii="Arial Narrow" w:hAnsi="Arial Narrow"/>
          <w:sz w:val="20"/>
        </w:rPr>
        <w:t>") and constitutes part of and is subject to all of the provisions of the Firm GTC.  Company does hereby adopt its letterhead, including its address, as its signature in respect of the identification of Company and the authentication by Company of this Firm Confirmation.  Any objection of Customer to this Firm Confirmation must be made by written notice to Company within 10 days of receipt of same.</w:t>
      </w:r>
    </w:p>
    <w:p>
      <w:pPr>
        <w:pStyle w:val="Normal"/>
        <w:jc w:val="both"/>
        <w:rPr>
          <w:rFonts w:ascii="Arial Narrow" w:hAnsi="Arial Narrow" w:cs="Arial Narrow"/>
          <w:sz w:val="20"/>
        </w:rPr>
      </w:pPr>
      <w:r>
        <w:rPr>
          <w:rFonts w:cs="Arial Narrow" w:ascii="Arial Narrow" w:hAnsi="Arial Narrow"/>
          <w:sz w:val="20"/>
        </w:rPr>
      </w:r>
    </w:p>
    <w:p>
      <w:pPr>
        <w:pStyle w:val="Normal"/>
        <w:jc w:val="both"/>
        <w:rPr/>
      </w:pPr>
      <w:r>
        <w:rPr>
          <w:rFonts w:cs="Arial Narrow" w:ascii="Arial Narrow" w:hAnsi="Arial Narrow"/>
          <w:sz w:val="20"/>
        </w:rPr>
        <w:t>Each party shall not disclose the terms of this transaction to a third party (other than the party's and its affiliates' employees, lenders, counsel</w:t>
      </w:r>
      <w:r>
        <w:rPr>
          <w:rFonts w:cs="Arial Narrow" w:ascii="Arial Narrow" w:hAnsi="Arial Narrow"/>
          <w:sz w:val="18"/>
        </w:rPr>
        <w:t xml:space="preserve">, </w:t>
      </w:r>
      <w:r>
        <w:rPr>
          <w:rFonts w:cs="Arial Narrow" w:ascii="Arial Narrow" w:hAnsi="Arial Narrow"/>
          <w:sz w:val="20"/>
        </w:rPr>
        <w:t>accountants or prospective purchasers of any rights under any Transactions</w:t>
      </w:r>
      <w:r>
        <w:rPr>
          <w:rFonts w:cs="Arial Narrow" w:ascii="Arial Narrow" w:hAnsi="Arial Narrow"/>
          <w:sz w:val="18"/>
        </w:rPr>
        <w:t xml:space="preserve"> </w:t>
      </w:r>
      <w:r>
        <w:rPr>
          <w:rFonts w:cs="Arial Narrow" w:ascii="Arial Narrow" w:hAnsi="Arial Narrow"/>
          <w:sz w:val="20"/>
        </w:rPr>
        <w:t>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this transaction are not subject to this confidentiality obligation.  The parties shall be entitled to all remedies available at law or in equity to enforce, or seek relief in connection with, this confidentiality obligation; provided, all monetary damages shall be limited to actual direct damages.</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tbl>
      <w:tblPr>
        <w:tblW w:w="9558" w:type="dxa"/>
        <w:jc w:val="start"/>
        <w:tblInd w:w="0" w:type="dxa"/>
        <w:tblLayout w:type="fixed"/>
        <w:tblCellMar>
          <w:top w:w="0" w:type="dxa"/>
          <w:start w:w="108" w:type="dxa"/>
          <w:bottom w:w="0" w:type="dxa"/>
          <w:end w:w="108" w:type="dxa"/>
        </w:tblCellMar>
      </w:tblPr>
      <w:tblGrid>
        <w:gridCol w:w="4698"/>
        <w:gridCol w:w="4860"/>
      </w:tblGrid>
      <w:tr>
        <w:trPr/>
        <w:tc>
          <w:tcPr>
            <w:tcW w:w="4698" w:type="dxa"/>
            <w:tcBorders/>
          </w:tcPr>
          <w:p>
            <w:pPr>
              <w:pStyle w:val="Normal"/>
              <w:tabs>
                <w:tab w:val="clear" w:pos="720"/>
                <w:tab w:val="left" w:pos="270" w:leader="none"/>
                <w:tab w:val="left" w:pos="4320" w:leader="none"/>
              </w:tabs>
              <w:jc w:val="both"/>
              <w:rPr>
                <w:rFonts w:ascii="Arial Narrow" w:hAnsi="Arial Narrow" w:cs="Arial Narrow"/>
                <w:sz w:val="19"/>
              </w:rPr>
            </w:pPr>
            <w:r>
              <w:rPr>
                <w:rFonts w:cs="Arial Narrow" w:ascii="Arial Narrow" w:hAnsi="Arial Narrow"/>
                <w:sz w:val="19"/>
              </w:rPr>
              <w:t>ENRON NORTH AMERICA CORP.</w:t>
            </w:r>
          </w:p>
        </w:tc>
        <w:tc>
          <w:tcPr>
            <w:tcW w:w="4860" w:type="dxa"/>
            <w:tcBorders/>
          </w:tcPr>
          <w:p>
            <w:pPr>
              <w:pStyle w:val="Normal"/>
              <w:tabs>
                <w:tab w:val="clear" w:pos="720"/>
                <w:tab w:val="left" w:pos="252" w:leader="none"/>
                <w:tab w:val="left" w:pos="4482" w:leader="none"/>
              </w:tabs>
              <w:jc w:val="both"/>
              <w:rPr>
                <w:rFonts w:ascii="Arial Narrow" w:hAnsi="Arial Narrow" w:cs="Arial Narrow"/>
                <w:sz w:val="19"/>
              </w:rPr>
            </w:pPr>
            <w:r>
              <w:rPr>
                <w:rFonts w:cs="Arial Narrow" w:ascii="Arial Narrow" w:hAnsi="Arial Narrow"/>
                <w:sz w:val="19"/>
              </w:rPr>
              <w:t>SIERRA PACIFIC POWER COMPANY</w:t>
            </w:r>
          </w:p>
        </w:tc>
      </w:tr>
      <w:tr>
        <w:trPr/>
        <w:tc>
          <w:tcPr>
            <w:tcW w:w="4698" w:type="dxa"/>
            <w:tcBorders/>
          </w:tcPr>
          <w:p>
            <w:pPr>
              <w:pStyle w:val="Normal"/>
              <w:tabs>
                <w:tab w:val="clear" w:pos="720"/>
                <w:tab w:val="left" w:pos="270" w:leader="none"/>
                <w:tab w:val="left" w:pos="4320" w:leader="none"/>
              </w:tabs>
              <w:snapToGrid w:val="false"/>
              <w:jc w:val="both"/>
              <w:rPr>
                <w:rFonts w:ascii="Arial Narrow" w:hAnsi="Arial Narrow" w:cs="Arial Narrow"/>
                <w:sz w:val="19"/>
              </w:rPr>
            </w:pPr>
            <w:r>
              <w:rPr>
                <w:rFonts w:cs="Arial Narrow" w:ascii="Arial Narrow" w:hAnsi="Arial Narrow"/>
                <w:sz w:val="19"/>
              </w:rPr>
            </w:r>
          </w:p>
        </w:tc>
        <w:tc>
          <w:tcPr>
            <w:tcW w:w="4860" w:type="dxa"/>
            <w:tcBorders/>
          </w:tcPr>
          <w:p>
            <w:pPr>
              <w:pStyle w:val="Normal"/>
              <w:tabs>
                <w:tab w:val="clear" w:pos="720"/>
                <w:tab w:val="left" w:pos="252" w:leader="none"/>
                <w:tab w:val="left" w:pos="4482" w:leader="none"/>
              </w:tabs>
              <w:snapToGrid w:val="false"/>
              <w:jc w:val="both"/>
              <w:rPr>
                <w:rFonts w:ascii="Arial Narrow" w:hAnsi="Arial Narrow" w:cs="Arial Narrow"/>
                <w:sz w:val="19"/>
              </w:rPr>
            </w:pPr>
            <w:r>
              <w:rPr>
                <w:rFonts w:cs="Arial Narrow" w:ascii="Arial Narrow" w:hAnsi="Arial Narrow"/>
                <w:sz w:val="19"/>
              </w:rPr>
            </w:r>
          </w:p>
        </w:tc>
      </w:tr>
      <w:tr>
        <w:trPr/>
        <w:tc>
          <w:tcPr>
            <w:tcW w:w="4698" w:type="dxa"/>
            <w:tcBorders/>
          </w:tcPr>
          <w:p>
            <w:pPr>
              <w:pStyle w:val="Normal"/>
              <w:tabs>
                <w:tab w:val="clear" w:pos="720"/>
                <w:tab w:val="left" w:pos="270" w:leader="none"/>
                <w:tab w:val="left" w:pos="4320" w:leader="none"/>
              </w:tabs>
              <w:snapToGrid w:val="false"/>
              <w:jc w:val="both"/>
              <w:rPr>
                <w:rFonts w:ascii="Arial Narrow" w:hAnsi="Arial Narrow" w:cs="Arial Narrow"/>
                <w:sz w:val="19"/>
              </w:rPr>
            </w:pPr>
            <w:r>
              <w:rPr>
                <w:rFonts w:cs="Arial Narrow" w:ascii="Arial Narrow" w:hAnsi="Arial Narrow"/>
                <w:sz w:val="19"/>
              </w:rPr>
            </w:r>
          </w:p>
        </w:tc>
        <w:tc>
          <w:tcPr>
            <w:tcW w:w="4860" w:type="dxa"/>
            <w:tcBorders/>
          </w:tcPr>
          <w:p>
            <w:pPr>
              <w:pStyle w:val="Normal"/>
              <w:tabs>
                <w:tab w:val="clear" w:pos="720"/>
                <w:tab w:val="left" w:pos="252" w:leader="none"/>
                <w:tab w:val="left" w:pos="4482" w:leader="none"/>
              </w:tabs>
              <w:snapToGrid w:val="false"/>
              <w:jc w:val="both"/>
              <w:rPr>
                <w:rFonts w:ascii="Arial Narrow" w:hAnsi="Arial Narrow" w:cs="Arial Narrow"/>
                <w:sz w:val="19"/>
              </w:rPr>
            </w:pPr>
            <w:r>
              <w:rPr>
                <w:rFonts w:cs="Arial Narrow" w:ascii="Arial Narrow" w:hAnsi="Arial Narrow"/>
                <w:sz w:val="19"/>
              </w:rPr>
            </w:r>
          </w:p>
        </w:tc>
      </w:tr>
      <w:tr>
        <w:trPr/>
        <w:tc>
          <w:tcPr>
            <w:tcW w:w="4698" w:type="dxa"/>
            <w:tcBorders/>
          </w:tcPr>
          <w:p>
            <w:pPr>
              <w:pStyle w:val="Normal"/>
              <w:tabs>
                <w:tab w:val="clear" w:pos="720"/>
                <w:tab w:val="left" w:pos="270" w:leader="none"/>
                <w:tab w:val="left" w:pos="4320" w:leader="none"/>
              </w:tabs>
              <w:jc w:val="both"/>
              <w:rPr>
                <w:rFonts w:ascii="Arial Narrow" w:hAnsi="Arial Narrow" w:cs="Arial Narrow"/>
                <w:sz w:val="19"/>
              </w:rPr>
            </w:pPr>
            <w:r>
              <w:rPr>
                <w:rFonts w:cs="Arial Narrow" w:ascii="Arial Narrow" w:hAnsi="Arial Narrow"/>
                <w:sz w:val="19"/>
              </w:rPr>
              <w:t>By:</w:t>
              <w:tab/>
            </w:r>
            <w:r>
              <w:rPr>
                <w:rFonts w:cs="Arial Narrow" w:ascii="Arial Narrow" w:hAnsi="Arial Narrow"/>
                <w:sz w:val="19"/>
                <w:u w:val="single"/>
              </w:rPr>
              <w:tab/>
            </w:r>
          </w:p>
        </w:tc>
        <w:tc>
          <w:tcPr>
            <w:tcW w:w="4860" w:type="dxa"/>
            <w:tcBorders/>
          </w:tcPr>
          <w:p>
            <w:pPr>
              <w:pStyle w:val="Normal"/>
              <w:tabs>
                <w:tab w:val="clear" w:pos="720"/>
                <w:tab w:val="left" w:pos="252" w:leader="none"/>
                <w:tab w:val="left" w:pos="4482" w:leader="none"/>
              </w:tabs>
              <w:jc w:val="both"/>
              <w:rPr/>
            </w:pPr>
            <w:r>
              <w:rPr>
                <w:rFonts w:cs="Arial Narrow" w:ascii="Arial Narrow" w:hAnsi="Arial Narrow"/>
                <w:sz w:val="19"/>
              </w:rPr>
              <w:t>By:</w:t>
            </w:r>
            <w:r>
              <w:rPr>
                <w:rFonts w:cs="Arial Narrow" w:ascii="Arial Narrow" w:hAnsi="Arial Narrow"/>
                <w:sz w:val="19"/>
                <w:u w:val="single"/>
              </w:rPr>
              <w:tab/>
            </w:r>
            <w:r>
              <w:rPr>
                <w:rFonts w:cs="Arial Narrow" w:ascii="Arial Narrow" w:hAnsi="Arial Narrow"/>
                <w:sz w:val="19"/>
              </w:rPr>
              <w:t>_______________________________________________</w:t>
            </w:r>
          </w:p>
        </w:tc>
      </w:tr>
      <w:tr>
        <w:trPr/>
        <w:tc>
          <w:tcPr>
            <w:tcW w:w="4698" w:type="dxa"/>
            <w:tcBorders/>
          </w:tcPr>
          <w:p>
            <w:pPr>
              <w:pStyle w:val="Normal"/>
              <w:tabs>
                <w:tab w:val="clear" w:pos="720"/>
                <w:tab w:val="left" w:pos="270" w:leader="none"/>
                <w:tab w:val="left" w:pos="4320" w:leader="none"/>
              </w:tabs>
              <w:jc w:val="both"/>
              <w:rPr>
                <w:rFonts w:ascii="Arial Narrow" w:hAnsi="Arial Narrow" w:cs="Arial Narrow"/>
                <w:sz w:val="19"/>
              </w:rPr>
            </w:pPr>
            <w:r>
              <w:rPr>
                <w:rFonts w:cs="Arial Narrow" w:ascii="Arial Narrow" w:hAnsi="Arial Narrow"/>
                <w:sz w:val="19"/>
              </w:rPr>
              <w:t>Name:</w:t>
            </w:r>
            <w:r>
              <w:rPr>
                <w:rFonts w:cs="Arial Narrow" w:ascii="Arial Narrow" w:hAnsi="Arial Narrow"/>
                <w:sz w:val="19"/>
                <w:u w:val="single"/>
              </w:rPr>
              <w:t xml:space="preserve"> </w:t>
              <w:tab/>
            </w:r>
          </w:p>
        </w:tc>
        <w:tc>
          <w:tcPr>
            <w:tcW w:w="4860" w:type="dxa"/>
            <w:tcBorders/>
          </w:tcPr>
          <w:p>
            <w:pPr>
              <w:pStyle w:val="Normal"/>
              <w:tabs>
                <w:tab w:val="clear" w:pos="720"/>
                <w:tab w:val="left" w:pos="252" w:leader="none"/>
                <w:tab w:val="left" w:pos="4482" w:leader="none"/>
              </w:tabs>
              <w:jc w:val="both"/>
              <w:rPr>
                <w:rFonts w:ascii="Arial Narrow" w:hAnsi="Arial Narrow" w:cs="Arial Narrow"/>
                <w:sz w:val="19"/>
              </w:rPr>
            </w:pPr>
            <w:r>
              <w:rPr>
                <w:rFonts w:cs="Arial Narrow" w:ascii="Arial Narrow" w:hAnsi="Arial Narrow"/>
                <w:sz w:val="19"/>
              </w:rPr>
              <w:t>Name:</w:t>
            </w:r>
            <w:r>
              <w:rPr>
                <w:rFonts w:cs="Arial Narrow" w:ascii="Arial Narrow" w:hAnsi="Arial Narrow"/>
                <w:sz w:val="19"/>
                <w:u w:val="single"/>
              </w:rPr>
              <w:t xml:space="preserve"> </w:t>
              <w:tab/>
            </w:r>
          </w:p>
        </w:tc>
      </w:tr>
      <w:tr>
        <w:trPr/>
        <w:tc>
          <w:tcPr>
            <w:tcW w:w="4698" w:type="dxa"/>
            <w:tcBorders/>
          </w:tcPr>
          <w:p>
            <w:pPr>
              <w:pStyle w:val="Normal"/>
              <w:tabs>
                <w:tab w:val="clear" w:pos="720"/>
                <w:tab w:val="left" w:pos="270" w:leader="none"/>
                <w:tab w:val="left" w:pos="4320" w:leader="none"/>
              </w:tabs>
              <w:jc w:val="both"/>
              <w:rPr>
                <w:rFonts w:ascii="Arial Narrow" w:hAnsi="Arial Narrow" w:cs="Arial Narrow"/>
                <w:sz w:val="19"/>
              </w:rPr>
            </w:pPr>
            <w:r>
              <w:rPr>
                <w:rFonts w:cs="Arial Narrow" w:ascii="Arial Narrow" w:hAnsi="Arial Narrow"/>
                <w:sz w:val="19"/>
              </w:rPr>
              <w:t>Title:</w:t>
            </w:r>
            <w:r>
              <w:rPr>
                <w:rFonts w:cs="Arial Narrow" w:ascii="Arial Narrow" w:hAnsi="Arial Narrow"/>
                <w:sz w:val="19"/>
                <w:u w:val="single"/>
              </w:rPr>
              <w:t xml:space="preserve"> </w:t>
              <w:tab/>
            </w:r>
          </w:p>
        </w:tc>
        <w:tc>
          <w:tcPr>
            <w:tcW w:w="4860" w:type="dxa"/>
            <w:tcBorders/>
          </w:tcPr>
          <w:p>
            <w:pPr>
              <w:pStyle w:val="Normal"/>
              <w:tabs>
                <w:tab w:val="clear" w:pos="720"/>
                <w:tab w:val="left" w:pos="252" w:leader="none"/>
                <w:tab w:val="left" w:pos="4482" w:leader="none"/>
              </w:tabs>
              <w:jc w:val="both"/>
              <w:rPr>
                <w:rFonts w:ascii="Arial Narrow" w:hAnsi="Arial Narrow" w:cs="Arial Narrow"/>
                <w:sz w:val="19"/>
              </w:rPr>
            </w:pPr>
            <w:r>
              <w:rPr>
                <w:rFonts w:cs="Arial Narrow" w:ascii="Arial Narrow" w:hAnsi="Arial Narrow"/>
                <w:sz w:val="19"/>
              </w:rPr>
              <w:t>Title:</w:t>
            </w:r>
            <w:r>
              <w:rPr>
                <w:rFonts w:cs="Arial Narrow" w:ascii="Arial Narrow" w:hAnsi="Arial Narrow"/>
                <w:sz w:val="19"/>
                <w:u w:val="single"/>
              </w:rPr>
              <w:t xml:space="preserve"> </w:t>
              <w:tab/>
            </w:r>
          </w:p>
        </w:tc>
      </w:tr>
    </w:tbl>
    <w:p>
      <w:pPr>
        <w:pStyle w:val="Normal"/>
        <w:rPr/>
      </w:pPr>
      <w:r>
        <w:rPr/>
      </w:r>
    </w:p>
    <w:p>
      <w:pPr>
        <w:pStyle w:val="Normal"/>
        <w:rPr/>
      </w:pPr>
      <w:r>
        <w:rPr/>
      </w:r>
    </w:p>
    <w:p>
      <w:pPr>
        <w:pStyle w:val="Normal"/>
        <w:rPr/>
      </w:pPr>
      <w:r>
        <w:rPr/>
      </w:r>
    </w:p>
    <w:p>
      <w:pPr>
        <w:pStyle w:val="Normal"/>
        <w:rPr/>
      </w:pPr>
      <w:r>
        <w:rPr/>
      </w:r>
    </w:p>
    <w:p>
      <w:pPr>
        <w:pStyle w:val="Normal"/>
        <w:rPr/>
      </w:pPr>
      <w:r>
        <w:rPr/>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sz w:val="12"/>
      </w:rPr>
    </w:pPr>
    <w:r>
      <w:rPr>
        <w:rFonts w:cs="Arial" w:ascii="Arial" w:hAnsi="Arial"/>
        <w:sz w:val="12"/>
      </w:rPr>
      <w:fldChar w:fldCharType="begin"/>
    </w:r>
    <w:r>
      <w:rPr>
        <w:sz w:val="12"/>
        <w:rFonts w:cs="Arial" w:ascii="Arial" w:hAnsi="Arial"/>
      </w:rPr>
      <w:instrText xml:space="preserve"> FILENAME \p </w:instrText>
    </w:r>
    <w:r>
      <w:rPr>
        <w:sz w:val="12"/>
        <w:rFonts w:cs="Arial" w:ascii="Arial" w:hAnsi="Arial"/>
      </w:rPr>
      <w:fldChar w:fldCharType="separate"/>
    </w:r>
    <w:r>
      <w:rPr>
        <w:sz w:val="12"/>
        <w:rFonts w:cs="Arial" w:ascii="Arial" w:hAnsi="Arial"/>
      </w:rPr>
      <w:t>/mnt/main-storage/datasets/enron-docs/doc/SierraPowerTA_No1e-aefa57dcd8206c02ab312279a4ce1b145c62c402cb4035b10671fa1604104518.doc</w:t>
    </w:r>
    <w:r>
      <w:rPr>
        <w:sz w:val="12"/>
        <w:rFonts w:cs="Arial" w:ascii="Arial" w:hAnsi="Arial"/>
      </w:rPr>
      <w:fldChar w:fldCharType="end"/>
    </w:r>
  </w:p>
  <w:p>
    <w:pPr>
      <w:pStyle w:val="Footer"/>
      <w:rPr>
        <w:rFonts w:ascii="Arial" w:hAnsi="Arial" w:cs="Arial"/>
        <w:sz w:val="12"/>
      </w:rPr>
    </w:pPr>
    <w:r>
      <w:rPr>
        <w:rFonts w:cs="Arial" w:ascii="Arial" w:hAnsi="Arial"/>
        <w:sz w:val="12"/>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rFonts w:ascii="Arial Narrow" w:hAnsi="Arial Narrow" w:cs="Arial Narrow"/>
        <w:sz w:val="19"/>
      </w:rPr>
    </w:pPr>
    <w:r>
      <w:rPr>
        <w:rFonts w:cs="Arial Narrow" w:ascii="Arial Narrow" w:hAnsi="Arial Narrow"/>
        <w:sz w:val="19"/>
      </w:rPr>
      <w:t>Sierra Pacific Power Company</w:t>
    </w:r>
  </w:p>
  <w:p>
    <w:pPr>
      <w:pStyle w:val="Normal"/>
      <w:rPr>
        <w:rFonts w:ascii="Arial Narrow" w:hAnsi="Arial Narrow" w:cs="Arial Narrow"/>
        <w:sz w:val="19"/>
      </w:rPr>
    </w:pPr>
    <w:r>
      <w:rPr>
        <w:rFonts w:cs="Arial Narrow" w:ascii="Arial Narrow" w:hAnsi="Arial Narrow"/>
        <w:sz w:val="19"/>
      </w:rPr>
      <w:t>April 10, 2001</w:t>
    </w:r>
  </w:p>
  <w:p>
    <w:pPr>
      <w:pStyle w:val="Normal"/>
      <w:rPr/>
    </w:pPr>
    <w:r>
      <w:rPr>
        <w:rFonts w:cs="Arial Narrow" w:ascii="Arial Narrow" w:hAnsi="Arial Narrow"/>
        <w:sz w:val="19"/>
      </w:rPr>
      <w:t xml:space="preserve">Page </w:t>
    </w:r>
    <w:r>
      <w:rPr>
        <w:rStyle w:val="PageNumber"/>
        <w:rFonts w:cs="Arial Narrow" w:ascii="Arial Narrow" w:hAnsi="Arial Narrow"/>
        <w:sz w:val="19"/>
      </w:rPr>
      <w:fldChar w:fldCharType="begin"/>
    </w:r>
    <w:r>
      <w:rPr>
        <w:rStyle w:val="PageNumber"/>
        <w:sz w:val="19"/>
        <w:rFonts w:cs="Arial Narrow" w:ascii="Arial Narrow" w:hAnsi="Arial Narrow"/>
      </w:rPr>
      <w:instrText xml:space="preserve"> PAGE </w:instrText>
    </w:r>
    <w:r>
      <w:rPr>
        <w:rStyle w:val="PageNumber"/>
        <w:sz w:val="19"/>
        <w:rFonts w:cs="Arial Narrow" w:ascii="Arial Narrow" w:hAnsi="Arial Narrow"/>
      </w:rPr>
      <w:fldChar w:fldCharType="separate"/>
    </w:r>
    <w:r>
      <w:rPr>
        <w:rStyle w:val="PageNumber"/>
        <w:sz w:val="19"/>
        <w:rFonts w:cs="Arial Narrow" w:ascii="Arial Narrow" w:hAnsi="Arial Narrow"/>
      </w:rPr>
      <w:t>3</w:t>
    </w:r>
    <w:r>
      <w:rPr>
        <w:rStyle w:val="PageNumber"/>
        <w:sz w:val="19"/>
        <w:rFonts w:cs="Arial Narrow" w:ascii="Arial Narrow" w:hAnsi="Arial Narrow"/>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0"/>
      </w:rPr>
    </w:pPr>
    <w:r>
      <w:rPr>
        <w:sz w:val="20"/>
      </w:rPr>
      <w:drawing>
        <wp:inline distT="0" distB="0" distL="0" distR="0">
          <wp:extent cx="994410" cy="98742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1"/>
                  <a:srcRect l="-39" t="-39" r="-39" b="-39"/>
                  <a:stretch>
                    <a:fillRect/>
                  </a:stretch>
                </pic:blipFill>
                <pic:spPr bwMode="auto">
                  <a:xfrm>
                    <a:off x="0" y="0"/>
                    <a:ext cx="994410" cy="987425"/>
                  </a:xfrm>
                  <a:prstGeom prst="rect">
                    <a:avLst/>
                  </a:prstGeom>
                  <a:noFill/>
                </pic:spPr>
              </pic:pic>
            </a:graphicData>
          </a:graphic>
        </wp:inline>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5400"/>
        </w:tabs>
        <w:ind w:start="5400" w:hanging="360"/>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end"/>
      <w:outlineLvl w:val="0"/>
    </w:pPr>
    <w:rPr>
      <w:rFonts w:ascii="Arial Narrow" w:hAnsi="Arial Narrow" w:cs="Arial Narrow"/>
      <w:b/>
      <w:bCs/>
      <w:sz w:val="22"/>
    </w:rPr>
  </w:style>
  <w:style w:type="character" w:styleId="WW8Num1z0">
    <w:name w:val="WW8Num1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rPr>
      <w:rFonts w:ascii="Arial" w:hAnsi="Arial" w:cs="Arial"/>
      <w:b/>
      <w:szCs w:val="20"/>
    </w:rPr>
  </w:style>
  <w:style w:type="paragraph" w:styleId="BodyText">
    <w:name w:val="Body Text"/>
    <w:basedOn w:val="Normal"/>
    <w:pPr>
      <w:jc w:val="both"/>
    </w:pPr>
    <w:rPr>
      <w:sz w:val="20"/>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26"/>
      <w:szCs w:val="20"/>
    </w:rPr>
  </w:style>
  <w:style w:type="paragraph" w:styleId="BodyTextIndent">
    <w:name w:val="Body Text Indent"/>
    <w:basedOn w:val="Normal"/>
    <w:pPr>
      <w:tabs>
        <w:tab w:val="clear" w:pos="720"/>
        <w:tab w:val="left" w:pos="8640" w:leader="none"/>
      </w:tabs>
      <w:ind w:hanging="4320" w:start="4680" w:end="0"/>
      <w:jc w:val="both"/>
    </w:pPr>
    <w:rPr>
      <w:rFonts w:ascii="Arial Narrow" w:hAnsi="Arial Narrow" w:cs="Arial Narrow"/>
      <w:sz w:val="18"/>
      <w:szCs w:val="20"/>
    </w:rPr>
  </w:style>
  <w:style w:type="paragraph" w:styleId="BodyTextIndent2">
    <w:name w:val="Body Text Indent 2"/>
    <w:basedOn w:val="Normal"/>
    <w:qFormat/>
    <w:pPr>
      <w:ind w:hanging="0" w:start="4680" w:end="0"/>
      <w:jc w:val="both"/>
    </w:pPr>
    <w:rPr>
      <w:rFonts w:ascii="Arial Narrow" w:hAnsi="Arial Narrow" w:cs="Arial Narrow"/>
      <w:sz w:val="19"/>
    </w:rPr>
  </w:style>
  <w:style w:type="paragraph" w:styleId="Header">
    <w:name w:val="head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2001-04-23T12:37:00Z</dcterms:created>
  <dc:creator>dhyvl</dc:creator>
  <dc:description/>
  <dc:language>en-CA</dc:language>
  <cp:lastModifiedBy>gnemec</cp:lastModifiedBy>
  <cp:lastPrinted>2001-04-10T15:42:00Z</cp:lastPrinted>
  <dcterms:modified xsi:type="dcterms:W3CDTF">2001-05-02T14:47:00Z</dcterms:modified>
  <cp:revision>4</cp:revision>
  <dc:subject/>
  <dc:title>June 1,  2000</dc:title>
</cp:coreProperties>
</file>