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r>
        <w:rPr>
          <w:sz w:val="48"/>
        </w:rPr>
        <w:tab/>
      </w:r>
    </w:p>
    <w:p>
      <w:pPr>
        <w:pStyle w:val="Caption"/>
        <w:rPr>
          <w:sz w:val="48"/>
        </w:rPr>
      </w:pPr>
      <w:r>
        <w:rPr/>
        <w:t>CONFIDENTIAL AND PRIVILEGED</w:t>
      </w:r>
    </w:p>
    <w:p>
      <w:pPr>
        <w:pStyle w:val="Normal"/>
        <w:tabs>
          <w:tab w:val="clear" w:pos="720"/>
          <w:tab w:val="left" w:pos="5490" w:leader="none"/>
        </w:tabs>
        <w:jc w:val="end"/>
        <w:rPr/>
      </w:pPr>
      <w:r>
        <w:rPr>
          <w:sz w:val="48"/>
        </w:rPr>
        <w:tab/>
      </w:r>
      <w:r>
        <w:rPr>
          <w:b/>
        </w:rPr>
        <w:t>INTEROFFICE MEMORANDUM</w:t>
      </w:r>
    </w:p>
    <w:p>
      <w:pPr>
        <w:pStyle w:val="Normal"/>
        <w:pBdr>
          <w:top w:val="single" w:sz="12" w:space="1" w:color="000000"/>
        </w:pBdr>
        <w:tabs>
          <w:tab w:val="clear" w:pos="720"/>
          <w:tab w:val="left" w:pos="1440" w:leader="none"/>
          <w:tab w:val="left" w:pos="5040" w:leader="none"/>
          <w:tab w:val="left" w:pos="6660" w:leader="none"/>
        </w:tabs>
        <w:spacing w:before="120" w:after="0"/>
        <w:ind w:end="-90"/>
        <w:rPr/>
      </w:pPr>
      <w:r>
        <w:rPr>
          <w:b/>
        </w:rPr>
        <w:t>TO:</w:t>
      </w:r>
      <w:r>
        <w:rPr/>
        <w:tab/>
        <w:t>Mark Haedicke</w:t>
        <w:tab/>
      </w:r>
      <w:r>
        <w:rPr>
          <w:b/>
        </w:rPr>
        <w:t xml:space="preserve">DATE: </w:t>
        <w:tab/>
      </w:r>
      <w:r>
        <w:rPr/>
        <w:t>October 15, 2001</w:t>
        <w:br/>
        <w:tab/>
        <w:t>Rob Walls</w:t>
        <w:br/>
        <w:tab/>
        <w:t xml:space="preserve">John Novak </w:t>
      </w:r>
    </w:p>
    <w:p>
      <w:pPr>
        <w:pStyle w:val="Normal"/>
        <w:pBdr>
          <w:top w:val="single" w:sz="12" w:space="1" w:color="000000"/>
        </w:pBdr>
        <w:tabs>
          <w:tab w:val="clear" w:pos="720"/>
          <w:tab w:val="left" w:pos="1440" w:leader="none"/>
          <w:tab w:val="left" w:pos="5040" w:leader="none"/>
          <w:tab w:val="left" w:pos="6660" w:leader="none"/>
        </w:tabs>
        <w:spacing w:before="120" w:after="0"/>
        <w:ind w:end="-90"/>
        <w:rPr/>
      </w:pPr>
      <w:r>
        <w:rPr>
          <w:b/>
        </w:rPr>
        <w:t>FROM:</w:t>
      </w:r>
      <w:r>
        <w:rPr/>
        <w:tab/>
        <w:t>Eddy Daniels</w:t>
        <w:tab/>
      </w:r>
      <w:r>
        <w:rPr>
          <w:b/>
        </w:rPr>
        <w:t xml:space="preserve">DEPARTMENT:  </w:t>
        <w:tab/>
      </w:r>
      <w:r>
        <w:rPr/>
        <w:t>ESA</w:t>
      </w:r>
      <w:r>
        <w:rPr>
          <w:b/>
        </w:rPr>
        <w:t xml:space="preserve"> </w:t>
      </w:r>
      <w:r>
        <w:rPr/>
        <w:t>Legal</w:t>
      </w:r>
    </w:p>
    <w:p>
      <w:pPr>
        <w:pStyle w:val="Normal"/>
        <w:pBdr>
          <w:bottom w:val="single" w:sz="12" w:space="1" w:color="000000"/>
        </w:pBdr>
        <w:spacing w:before="120" w:after="0"/>
        <w:ind w:hanging="1440" w:start="1440" w:end="0"/>
        <w:jc w:val="both"/>
        <w:rPr/>
      </w:pPr>
      <w:r>
        <w:rPr>
          <w:b/>
        </w:rPr>
        <w:t>SUBJECT:</w:t>
        <w:tab/>
      </w:r>
      <w:r>
        <w:rPr>
          <w:bCs/>
        </w:rPr>
        <w:t>Purchase Order and Credit Agreement in connection with repair of Cuiaba Turbine GT 11</w:t>
      </w:r>
    </w:p>
    <w:p>
      <w:pPr>
        <w:pStyle w:val="Normal"/>
        <w:pBdr>
          <w:bottom w:val="single" w:sz="12" w:space="1" w:color="000000"/>
        </w:pBdr>
        <w:spacing w:before="120" w:after="60"/>
        <w:rPr/>
      </w:pPr>
      <w:r>
        <w:rPr>
          <w:b/>
          <w:bCs/>
        </w:rPr>
        <w:t>RISK FACTOR:</w:t>
      </w:r>
      <w:r>
        <w:rPr/>
        <w:tab/>
        <w:t>5</w:t>
      </w:r>
    </w:p>
    <w:p>
      <w:pPr>
        <w:pStyle w:val="Normal"/>
        <w:rPr/>
      </w:pPr>
      <w:r>
        <w:rPr/>
      </w:r>
    </w:p>
    <w:p>
      <w:pPr>
        <w:pStyle w:val="Normal"/>
        <w:rPr/>
      </w:pPr>
      <w:r>
        <w:rPr/>
        <w:t>Siemens AG has insisted upon advance payment (either in cash or by irrevocable letter of credit) as a precondition to shipment of vital blades and vanes needed to return to service GT11 in EPE’s power plant in Cuiaba, Mato Grosso, Brazil.  Because EPE could not practically obtain a letter of credit without shareholder guarantees, and because negotiating and structuring a letter of credit with an Enron guarantee would be costly and time consuming, EPE has asked Enron to provide (through an affiliate, Enron Netherlands Holdings B.V.) $32 million in financing in connection with the Purchase Order.  Enron would cosign the Purchase Order as “Import Financier” and would enter into a Credit Agreement with EPE providing for repayment from EPE of principal plus 14% interest with short maturity dates (30-75 days).  Enron would be granted a pledge of EPE’s insurance proceeds and a right to priority repayment from free cash flows and the proceeds of a financial closing, if any.  A more detailed summary of the transaction is contained in the DASH.</w:t>
      </w:r>
    </w:p>
    <w:p>
      <w:pPr>
        <w:pStyle w:val="BodyText"/>
        <w:tabs>
          <w:tab w:val="clear" w:pos="720"/>
          <w:tab w:val="clear" w:pos="1530"/>
          <w:tab w:val="clear" w:pos="5040"/>
          <w:tab w:val="clear" w:pos="6480"/>
        </w:tabs>
        <w:spacing w:before="240" w:after="0"/>
        <w:rPr/>
      </w:pPr>
      <w:r>
        <w:rPr>
          <w:sz w:val="24"/>
        </w:rPr>
        <w:tab/>
      </w:r>
      <w:r>
        <w:rPr>
          <w:sz w:val="24"/>
          <w:u w:val="single"/>
        </w:rPr>
        <w:t>Risks</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of insurance non-payment.</w:t>
      </w:r>
      <w:r>
        <w:rPr>
          <w:sz w:val="24"/>
        </w:rPr>
        <w:t xml:space="preserve">  The insurance adjuster has claimed orally that the insurance companies are going to acknowledge cover for the property damage and business interruption policies and are going to fund advance payments for the property damage portion.  However, receipt of these insurance proceeds may never occur or may be delayed for several years if the insurance companies decide instead to refuse coverage.  In that case, Enron is protected by contractual rights to priority payment from proceeds of the financing or free cash flows. However, financial closing is still uncertain (perhaps unlikely) and EPE’s cash flows for the next 12 months will be severely impacted by the turbine failure, especially if business interruption coverage is denied or limited.  Enron is taking significant risk of non-payment or delayed repayment if the insurers do not pay.</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w:t>
      </w:r>
      <w:r>
        <w:rPr>
          <w:i/>
          <w:iCs/>
        </w:rPr>
        <w:t xml:space="preserve"> that</w:t>
      </w:r>
      <w:r>
        <w:rPr>
          <w:i/>
          <w:iCs/>
          <w:sz w:val="24"/>
        </w:rPr>
        <w:t xml:space="preserve"> Enron's security interests/payment priority may be disregarded in event of EPE bankruptcy.</w:t>
      </w:r>
      <w:r>
        <w:rPr/>
        <w:t xml:space="preserve">  </w:t>
      </w:r>
      <w:r>
        <w:rPr>
          <w:sz w:val="24"/>
        </w:rPr>
        <w:t xml:space="preserve">Because EPE's assets are pledged to OPIC/KfW pursuant to the attempts to obtain senior project financing, it is extremely difficult for Enron to properly perfect its security interest in EPE's revenues and insurance proceeds.  Since Enron has a controlling interest, Enron is protected so long as EPE is solvent (Enron can prevent voluntary bankruptcy).  However, an involuntary bankruptcy may lead to a process where Enron's failure to properly perfect could result in Enron's claim being treated pari passu with other shareholder loans (and, perhaps, placed behind third party creditors). </w:t>
      </w:r>
    </w:p>
    <w:p>
      <w:pPr>
        <w:pStyle w:val="BodyText"/>
        <w:numPr>
          <w:ilvl w:val="0"/>
          <w:numId w:val="2"/>
        </w:numPr>
        <w:tabs>
          <w:tab w:val="clear" w:pos="720"/>
          <w:tab w:val="clear" w:pos="1530"/>
          <w:tab w:val="clear" w:pos="5040"/>
          <w:tab w:val="clear" w:pos="6480"/>
        </w:tabs>
        <w:spacing w:before="240" w:after="0"/>
        <w:ind w:hanging="720" w:start="720" w:end="0"/>
        <w:rPr>
          <w:i/>
          <w:i/>
          <w:iCs/>
          <w:sz w:val="24"/>
        </w:rPr>
      </w:pPr>
      <w:r>
        <w:rPr>
          <w:i/>
          <w:iCs/>
        </w:rPr>
        <w:t xml:space="preserve">Risks related to Shareholder Dispute with </w:t>
      </w:r>
      <w:r>
        <w:rPr>
          <w:i/>
          <w:iCs/>
          <w:sz w:val="24"/>
        </w:rPr>
        <w:t>Shell</w:t>
      </w:r>
      <w:r>
        <w:rPr>
          <w:i/>
          <w:iCs/>
        </w:rPr>
        <w:t>.</w:t>
      </w:r>
      <w:r>
        <w:rPr/>
        <w:t xml:space="preserve"> </w:t>
      </w:r>
      <w:r>
        <w:rPr>
          <w:sz w:val="24"/>
        </w:rPr>
        <w:t xml:space="preserve"> Shell has initiated dispute resolution procedures under the shareholder agreements related to the Cuiaba project.  One of Shell’s stated claims is that various costs (including the costs of repairing the turbine) incurred before substantial completion of plant construction are not properly chargeable to the project owners, but instead should be allocated to Enron’s affiliate Superior Construction Company.  Mediation of these claims is scheduled for November 5-7, 2001.  Shell will likely object to repayment to Enron of loaned amounts.  Enron has a controlling interest in EPE and can proceed without Shell’s consent, but because this is viewed as an affiliate transaction, Shell can invoke arbitration questioning the transaction after the fact.  Additionally, Shell may threaten not to cooperate in closing the financing if Enron does not agree to waive priority repayment from the proceeds of financial closing or, perhaps, to waive repayment altogether.</w:t>
      </w:r>
    </w:p>
    <w:p>
      <w:pPr>
        <w:pStyle w:val="BodyText"/>
        <w:numPr>
          <w:ilvl w:val="0"/>
          <w:numId w:val="2"/>
        </w:numPr>
        <w:tabs>
          <w:tab w:val="clear" w:pos="720"/>
          <w:tab w:val="clear" w:pos="1530"/>
          <w:tab w:val="clear" w:pos="5040"/>
          <w:tab w:val="clear" w:pos="6480"/>
        </w:tabs>
        <w:spacing w:before="240" w:after="0"/>
        <w:ind w:hanging="720" w:start="720" w:end="0"/>
        <w:rPr>
          <w:i/>
          <w:i/>
          <w:iCs/>
          <w:sz w:val="24"/>
        </w:rPr>
      </w:pPr>
      <w:r>
        <w:rPr>
          <w:i/>
          <w:iCs/>
          <w:sz w:val="24"/>
        </w:rPr>
        <w:t>Risks of payment mismatch due to regulatory intervention.</w:t>
      </w:r>
      <w:r>
        <w:rPr>
          <w:sz w:val="24"/>
        </w:rPr>
        <w:t xml:space="preserve">  Enron is asked to pay in advance, and accordingly will make payment to Siemens before Brazilian Central Bank approval for US dollar loan repayment terms are received.  The Central Bank may not approve payment in full of the interest provided, and further may not approve payment of the inflated prices Siemens has requested.  It is unclear how Enron could be repaid in full in these events.  However, Brazilian counsel advises that import financing is favored and Central Bank approval for repayment on these facts is expected.  Additionally, delay in Central Bank authorization or payment by the Brazilian insurer may lead to payment mismatch due to foreign exchange devaluations.  Although EPE’s obligation to pay in dollars protects Enron as lender, it exposes EPE (71% owned by Enron) to this risk.</w:t>
      </w:r>
    </w:p>
    <w:p>
      <w:pPr>
        <w:pStyle w:val="BodyText"/>
        <w:numPr>
          <w:ilvl w:val="0"/>
          <w:numId w:val="2"/>
        </w:numPr>
        <w:tabs>
          <w:tab w:val="clear" w:pos="720"/>
          <w:tab w:val="clear" w:pos="1530"/>
          <w:tab w:val="clear" w:pos="5040"/>
          <w:tab w:val="clear" w:pos="6480"/>
        </w:tabs>
        <w:spacing w:before="240" w:after="0"/>
        <w:ind w:hanging="720" w:start="720" w:end="0"/>
        <w:rPr>
          <w:i/>
          <w:i/>
          <w:iCs/>
          <w:sz w:val="24"/>
        </w:rPr>
      </w:pPr>
      <w:r>
        <w:rPr>
          <w:i/>
          <w:iCs/>
        </w:rPr>
        <w:t>Risks of Shell non-</w:t>
      </w:r>
      <w:r>
        <w:rPr>
          <w:i/>
          <w:iCs/>
          <w:sz w:val="24"/>
        </w:rPr>
        <w:t>participation in funding operating cashflow shortfalls.</w:t>
      </w:r>
      <w:r>
        <w:rPr>
          <w:sz w:val="24"/>
        </w:rPr>
        <w:t xml:space="preserve">  Although the insurance proceeds are expected to be adequate to repay the costs related to turbine repair, the costs connected with major maintenance overhaul – approximately $7 million – must come from EPE’s cash flows or business interruption proceeds.  EPE will face sizeable operating cash shortfalls in the near term which will be exacerbated if business interruption proceeds are not received.  Shell is unlikely to fund their portion of such shortfalls, forcing Enron to fund and dilute Shell. This risk could be minimized by refusing to authorize EPE to conduct the major maintenance overhaul until cash flows are available.  However, there are cost savings to performing the overhaul now.</w:t>
      </w:r>
    </w:p>
    <w:p>
      <w:pPr>
        <w:pStyle w:val="BodyText"/>
        <w:tabs>
          <w:tab w:val="clear" w:pos="720"/>
          <w:tab w:val="clear" w:pos="1530"/>
          <w:tab w:val="clear" w:pos="5040"/>
          <w:tab w:val="clear" w:pos="6480"/>
        </w:tabs>
        <w:ind w:start="720" w:end="0"/>
        <w:rPr>
          <w:i/>
          <w:i/>
          <w:iCs/>
          <w:sz w:val="24"/>
        </w:rPr>
      </w:pPr>
      <w:r>
        <w:rPr>
          <w:i/>
          <w:iCs/>
          <w:sz w:val="24"/>
        </w:rPr>
      </w:r>
    </w:p>
    <w:p>
      <w:pPr>
        <w:pStyle w:val="BodyText"/>
        <w:tabs>
          <w:tab w:val="clear" w:pos="720"/>
          <w:tab w:val="clear" w:pos="1530"/>
          <w:tab w:val="clear" w:pos="5040"/>
          <w:tab w:val="clear" w:pos="6480"/>
        </w:tabs>
        <w:ind w:firstLine="720" w:start="720" w:end="0"/>
        <w:rPr>
          <w:sz w:val="24"/>
        </w:rPr>
      </w:pPr>
      <w:r>
        <w:rPr>
          <w:sz w:val="24"/>
        </w:rPr>
        <w:t>cc:</w:t>
        <w:tab/>
        <w:t>Peter Weidler</w:t>
      </w:r>
    </w:p>
    <w:p>
      <w:pPr>
        <w:pStyle w:val="BodyText"/>
        <w:tabs>
          <w:tab w:val="clear" w:pos="720"/>
          <w:tab w:val="clear" w:pos="1530"/>
          <w:tab w:val="clear" w:pos="5040"/>
          <w:tab w:val="clear" w:pos="6480"/>
        </w:tabs>
        <w:ind w:firstLine="720" w:start="1440" w:end="0"/>
        <w:rPr>
          <w:sz w:val="24"/>
        </w:rPr>
      </w:pPr>
      <w:r>
        <w:rPr>
          <w:sz w:val="24"/>
        </w:rPr>
        <w:t>Jim Hughes</w:t>
      </w:r>
    </w:p>
    <w:p>
      <w:pPr>
        <w:pStyle w:val="BodyText"/>
        <w:tabs>
          <w:tab w:val="clear" w:pos="720"/>
          <w:tab w:val="clear" w:pos="1530"/>
          <w:tab w:val="clear" w:pos="5040"/>
          <w:tab w:val="clear" w:pos="6480"/>
        </w:tabs>
        <w:ind w:firstLine="720" w:start="1440" w:end="0"/>
        <w:rPr>
          <w:sz w:val="24"/>
        </w:rPr>
      </w:pPr>
      <w:r>
        <w:rPr>
          <w:sz w:val="24"/>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/mnt/main-storage/datasets/enron-docs/doc/Siemens_legal_risk_memo-669fcd5245a8377ef553f23e2df27983569c2694a135e7b7a695aa71436fb08d.doc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t>Mark Haedicke</w:t>
      <w:tab/>
      <w:tab/>
      <w:tab/>
      <w:tab/>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t>Rob Walls</w:t>
    </w:r>
  </w:p>
  <w:p>
    <w:pPr>
      <w:pStyle w:val="Header"/>
      <w:tabs>
        <w:tab w:val="clear" w:pos="8640"/>
        <w:tab w:val="center" w:pos="4320" w:leader="none"/>
        <w:tab w:val="right" w:pos="5580" w:leader="none"/>
      </w:tabs>
      <w:rPr>
        <w:sz w:val="20"/>
      </w:rPr>
    </w:pPr>
    <w:r>
      <w:rPr>
        <w:sz w:val="20"/>
      </w:rPr>
      <w:t>John Novak</w:t>
    </w:r>
  </w:p>
  <w:p>
    <w:pPr>
      <w:pStyle w:val="Header"/>
      <w:tabs>
        <w:tab w:val="clear" w:pos="8640"/>
        <w:tab w:val="center" w:pos="4320" w:leader="none"/>
        <w:tab w:val="right" w:pos="5580" w:leader="none"/>
      </w:tabs>
      <w:rPr>
        <w:sz w:val="20"/>
      </w:rPr>
    </w:pPr>
    <w:r>
      <w:rPr>
        <w:sz w:val="20"/>
      </w:rPr>
      <w:t>October 15, 2001</w:t>
    </w:r>
  </w:p>
  <w:p>
    <w:pPr>
      <w:pStyle w:val="Header"/>
      <w:tabs>
        <w:tab w:val="clear" w:pos="8640"/>
        <w:tab w:val="center" w:pos="4320" w:leader="none"/>
        <w:tab w:val="right" w:pos="5580" w:leader="none"/>
      </w:tabs>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7200" w:leader="none"/>
      </w:tabs>
      <w:jc w:val="end"/>
    </w:pPr>
    <w:rPr>
      <w:b/>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2001-10-11T16:33:00Z</dcterms:created>
  <dc:creator>ECT</dc:creator>
  <dc:description/>
  <dc:language>en-CA</dc:language>
  <cp:lastModifiedBy>edaniel2</cp:lastModifiedBy>
  <cp:lastPrinted>2001-06-11T11:49:00Z</cp:lastPrinted>
  <dcterms:modified xsi:type="dcterms:W3CDTF">2001-10-15T21:21:00Z</dcterms:modified>
  <cp:revision>6</cp:revision>
  <dc:subject/>
  <dc:title> 	</dc:title>
</cp:coreProperties>
</file>