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highlight w:val="yellow"/>
        </w:rPr>
      </w:pPr>
      <w:r>
        <w:rPr>
          <w:highlight w:val="yellow"/>
        </w:rPr>
        <w:t>Draft 3/22/01</w:t>
      </w:r>
    </w:p>
    <w:p>
      <w:pPr>
        <w:pStyle w:val="Normal"/>
        <w:jc w:val="center"/>
        <w:rPr/>
      </w:pPr>
      <w:r>
        <w:rPr/>
      </w:r>
    </w:p>
    <w:p>
      <w:pPr>
        <w:pStyle w:val="Normal"/>
        <w:jc w:val="center"/>
        <w:rPr/>
      </w:pPr>
      <w:r>
        <w:rPr/>
        <w:t>TBMA – ISDA Draft</w:t>
      </w:r>
    </w:p>
    <w:p>
      <w:pPr>
        <w:pStyle w:val="Normal"/>
        <w:jc w:val="center"/>
        <w:rPr/>
      </w:pPr>
      <w:r>
        <w:rPr/>
        <w:t>Comparison of Title IX and Section 502 of S. 420 and H.R.333</w:t>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shd w:fill="000000" w:val="clear"/>
          </w:tcPr>
          <w:p>
            <w:pPr>
              <w:pStyle w:val="Normal"/>
              <w:rPr>
                <w:sz w:val="20"/>
              </w:rPr>
            </w:pPr>
            <w:r>
              <w:rPr>
                <w:sz w:val="20"/>
              </w:rPr>
              <w:t>Senate Provision</w:t>
            </w:r>
          </w:p>
        </w:tc>
        <w:tc>
          <w:tcPr>
            <w:tcW w:w="2394" w:type="dxa"/>
            <w:tcBorders>
              <w:top w:val="single" w:sz="4" w:space="0" w:color="000000"/>
              <w:start w:val="single" w:sz="4" w:space="0" w:color="000000"/>
              <w:bottom w:val="single" w:sz="4" w:space="0" w:color="000000"/>
              <w:end w:val="single" w:sz="4" w:space="0" w:color="000000"/>
            </w:tcBorders>
            <w:shd w:fill="000000" w:val="clear"/>
          </w:tcPr>
          <w:p>
            <w:pPr>
              <w:pStyle w:val="Normal"/>
              <w:rPr>
                <w:sz w:val="20"/>
              </w:rPr>
            </w:pPr>
            <w:r>
              <w:rPr>
                <w:sz w:val="20"/>
              </w:rPr>
              <w:t xml:space="preserve"> </w:t>
            </w:r>
            <w:r>
              <w:rPr>
                <w:sz w:val="20"/>
              </w:rPr>
              <w:t>House Provision</w:t>
            </w:r>
          </w:p>
        </w:tc>
        <w:tc>
          <w:tcPr>
            <w:tcW w:w="2394" w:type="dxa"/>
            <w:tcBorders>
              <w:top w:val="single" w:sz="4" w:space="0" w:color="000000"/>
              <w:start w:val="single" w:sz="4" w:space="0" w:color="000000"/>
              <w:bottom w:val="single" w:sz="4" w:space="0" w:color="000000"/>
              <w:end w:val="single" w:sz="4" w:space="0" w:color="000000"/>
            </w:tcBorders>
            <w:shd w:fill="000000" w:val="clear"/>
          </w:tcPr>
          <w:p>
            <w:pPr>
              <w:pStyle w:val="Normal"/>
              <w:rPr>
                <w:sz w:val="20"/>
              </w:rPr>
            </w:pPr>
            <w:r>
              <w:rPr>
                <w:sz w:val="20"/>
              </w:rPr>
              <w:t>Comparison</w:t>
            </w:r>
          </w:p>
        </w:tc>
        <w:tc>
          <w:tcPr>
            <w:tcW w:w="2394" w:type="dxa"/>
            <w:tcBorders>
              <w:top w:val="single" w:sz="4" w:space="0" w:color="000000"/>
              <w:start w:val="single" w:sz="4" w:space="0" w:color="000000"/>
              <w:bottom w:val="single" w:sz="4" w:space="0" w:color="000000"/>
              <w:end w:val="single" w:sz="4" w:space="0" w:color="000000"/>
            </w:tcBorders>
            <w:shd w:fill="000000" w:val="clear"/>
          </w:tcPr>
          <w:p>
            <w:pPr>
              <w:pStyle w:val="Normal"/>
              <w:rPr>
                <w:sz w:val="20"/>
              </w:rPr>
            </w:pPr>
            <w:r>
              <w:rPr>
                <w:sz w:val="20"/>
              </w:rPr>
              <w:t>Comments</w:t>
            </w:r>
          </w:p>
        </w:tc>
      </w:tr>
      <w:tr>
        <w:trPr/>
        <w:tc>
          <w:tcPr>
            <w:tcW w:w="2394" w:type="dxa"/>
            <w:tcBorders>
              <w:start w:val="single" w:sz="4" w:space="0" w:color="000000"/>
              <w:bottom w:val="single" w:sz="4" w:space="0" w:color="000000"/>
              <w:end w:val="single" w:sz="4" w:space="0" w:color="000000"/>
            </w:tcBorders>
            <w:shd w:fill="DFDFDF" w:val="clear"/>
          </w:tcPr>
          <w:p>
            <w:pPr>
              <w:pStyle w:val="Normal"/>
              <w:rPr>
                <w:b/>
                <w:sz w:val="20"/>
              </w:rPr>
            </w:pPr>
            <w:r>
              <w:rPr>
                <w:b/>
                <w:sz w:val="20"/>
              </w:rPr>
              <w:t>Amendments to FDIA:</w:t>
            </w:r>
          </w:p>
        </w:tc>
        <w:tc>
          <w:tcPr>
            <w:tcW w:w="2394" w:type="dxa"/>
            <w:tcBorders>
              <w:start w:val="single" w:sz="4" w:space="0" w:color="000000"/>
              <w:bottom w:val="single" w:sz="4" w:space="0" w:color="000000"/>
              <w:end w:val="single" w:sz="4" w:space="0" w:color="000000"/>
            </w:tcBorders>
            <w:shd w:fill="DFDFDF" w:val="clear"/>
          </w:tcPr>
          <w:p>
            <w:pPr>
              <w:pStyle w:val="Normal"/>
              <w:rPr>
                <w:sz w:val="20"/>
              </w:rPr>
            </w:pPr>
            <w:r>
              <w:rPr>
                <w:b/>
                <w:sz w:val="20"/>
              </w:rPr>
              <w:t>Amendments to FDIA:</w:t>
            </w:r>
          </w:p>
        </w:tc>
        <w:tc>
          <w:tcPr>
            <w:tcW w:w="2394" w:type="dxa"/>
            <w:tcBorders>
              <w:start w:val="single" w:sz="4" w:space="0" w:color="000000"/>
              <w:bottom w:val="single" w:sz="4" w:space="0" w:color="000000"/>
              <w:end w:val="single" w:sz="4" w:space="0" w:color="000000"/>
            </w:tcBorders>
            <w:shd w:fill="DFDFDF" w:val="clear"/>
          </w:tcPr>
          <w:p>
            <w:pPr>
              <w:pStyle w:val="Normal"/>
              <w:snapToGrid w:val="false"/>
              <w:rPr>
                <w:sz w:val="20"/>
              </w:rPr>
            </w:pPr>
            <w:r>
              <w:rPr>
                <w:sz w:val="20"/>
              </w:rPr>
            </w:r>
          </w:p>
        </w:tc>
        <w:tc>
          <w:tcPr>
            <w:tcW w:w="2394" w:type="dxa"/>
            <w:tcBorders>
              <w:start w:val="single" w:sz="4" w:space="0" w:color="000000"/>
              <w:bottom w:val="single" w:sz="4" w:space="0" w:color="000000"/>
              <w:end w:val="single" w:sz="4" w:space="0" w:color="000000"/>
            </w:tcBorders>
            <w:shd w:fill="DFDFDF" w:val="clear"/>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901(a) – Definition of Qualified Financial Contract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901(a) – Definition of Qualified Financial Contract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901(b) – Definition of Securities Contract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901(b) – Definition of Securities Contract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901(c) – Definition of Commodity Contract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901(c) – Definition of Commodity Contract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901(d) – Definition of Forward Contract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901(d) – Definition of Forward Contract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901(e) – Definition of Repurchase Agreement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901(e) – Definition of Repurchase Agreement </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901(f) – Definition of Swap Agreement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901(f) – Definition of Swap Agreement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 except that the Senate Bill provides that a swap agreement that “is of a type” that is subject of recurrent dealings in the swap markets can qualify as a “swap agreement”.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House should cede to the Senate because the language in the House Bill could be read to mean that the exact same agreement must be the subject of recurrent dealings to be a “swap agreement”.</w:t>
            </w:r>
          </w:p>
          <w:p>
            <w:pPr>
              <w:pStyle w:val="Normal"/>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901(g) – Definition of Transfer</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901(g) – Definition of Transfer</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901(h) – Treatment of Qualified Financial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901(h) – Treatment of Qualified Financial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901(i) – Avoidance of Transfers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901(i) – Avoidance of Transfers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902(a) – Authority of the Corporation with Respect to Failed and Failing Institutions:  In General</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902(a) – Authority of the Corporation with Respect to Failed and Failing Institutions:  In General</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902(b) – Technical and Conforming Amendment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902(b) – Technical and Conforming Amendment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903(a) – Transfer of Qualified Financial Contracts to Financial Institutions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903(a) – Transfer of Qualified Financial Contracts to Financial Institutions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903(b) – Notice to Qualified Financial Contract Counterparties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903(b) – Notice to Qualified Financial Contract Counterparties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903(c) – Rights Against Receiver and Treatment of Bridge Banks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903(c) – Rights Against Receiver and Treatment of Bridge Banks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904 – Amendments Relating to Disaffirmance or Repudiation of Qualified Financial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904 – Amendments Relating to Disaffirmance or Repudiation of Qualified Financial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 except that the Senate Bill adds a “savings” provisions to the FDIA.</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House should cede to the Senate, because the savings provision will make clear that the definitions of “qualified financial contracts” in the FDIA do not affect similar terms in other statutes.</w:t>
            </w:r>
          </w:p>
        </w:tc>
      </w:tr>
      <w:tr>
        <w:trPr/>
        <w:tc>
          <w:tcPr>
            <w:tcW w:w="2394" w:type="dxa"/>
            <w:tcBorders>
              <w:top w:val="single" w:sz="4" w:space="0" w:color="000000"/>
              <w:start w:val="single" w:sz="4" w:space="0" w:color="000000"/>
              <w:end w:val="single" w:sz="4" w:space="0" w:color="000000"/>
            </w:tcBorders>
          </w:tcPr>
          <w:p>
            <w:pPr>
              <w:pStyle w:val="Normal"/>
              <w:rPr>
                <w:sz w:val="20"/>
              </w:rPr>
            </w:pPr>
            <w:r>
              <w:rPr>
                <w:sz w:val="20"/>
              </w:rPr>
              <w:t>905 – Clarifying Amendment Relating to Master Agreements</w:t>
            </w:r>
          </w:p>
        </w:tc>
        <w:tc>
          <w:tcPr>
            <w:tcW w:w="2394" w:type="dxa"/>
            <w:tcBorders>
              <w:top w:val="single" w:sz="4" w:space="0" w:color="000000"/>
              <w:start w:val="single" w:sz="4" w:space="0" w:color="000000"/>
              <w:end w:val="single" w:sz="4" w:space="0" w:color="000000"/>
            </w:tcBorders>
          </w:tcPr>
          <w:p>
            <w:pPr>
              <w:pStyle w:val="Normal"/>
              <w:rPr>
                <w:sz w:val="20"/>
              </w:rPr>
            </w:pPr>
            <w:r>
              <w:rPr>
                <w:sz w:val="20"/>
              </w:rPr>
              <w:t>905 – Clarifying Amendment Relating to Master Agreements</w:t>
            </w:r>
          </w:p>
        </w:tc>
        <w:tc>
          <w:tcPr>
            <w:tcW w:w="2394" w:type="dxa"/>
            <w:tcBorders>
              <w:top w:val="single" w:sz="4" w:space="0" w:color="000000"/>
              <w:start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rPr>
                <w:b/>
                <w:sz w:val="20"/>
              </w:rPr>
            </w:pPr>
            <w:r>
              <w:rPr>
                <w:b/>
                <w:sz w:val="20"/>
              </w:rPr>
              <w:t>Amendments to FDICIA:</w:t>
            </w:r>
          </w:p>
        </w:tc>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rPr>
                <w:sz w:val="20"/>
              </w:rPr>
            </w:pPr>
            <w:r>
              <w:rPr>
                <w:b/>
                <w:sz w:val="20"/>
              </w:rPr>
              <w:t>Amendments to FDICIA:</w:t>
            </w:r>
          </w:p>
        </w:tc>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906(a) – Federal Deposit Insurance Corporation Improvement Act of 1991:  Definitions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906(a) – Federal Deposit Insurance Corporation Improvement Act of 1991:  Definitions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906(b) – Enforceability of Bilateral Netting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906(b) – Enforceability of Bilateral Netting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906(c) – Enforceability of Clearing Organization Netting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906(c) – Enforceability of Clearing Organization Netting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end w:val="single" w:sz="4" w:space="0" w:color="000000"/>
            </w:tcBorders>
          </w:tcPr>
          <w:p>
            <w:pPr>
              <w:pStyle w:val="Normal"/>
              <w:rPr>
                <w:sz w:val="20"/>
              </w:rPr>
            </w:pPr>
            <w:r>
              <w:rPr>
                <w:sz w:val="20"/>
              </w:rPr>
              <w:t>906(d) – Enforceability of Contracts With Uninsured National Banks, Uninsured Federal Branches and Agencies, Certain Uninsured State Member Banks, and Edge Act Corporations</w:t>
            </w:r>
          </w:p>
        </w:tc>
        <w:tc>
          <w:tcPr>
            <w:tcW w:w="2394" w:type="dxa"/>
            <w:tcBorders>
              <w:top w:val="single" w:sz="4" w:space="0" w:color="000000"/>
              <w:start w:val="single" w:sz="4" w:space="0" w:color="000000"/>
              <w:end w:val="single" w:sz="4" w:space="0" w:color="000000"/>
            </w:tcBorders>
          </w:tcPr>
          <w:p>
            <w:pPr>
              <w:pStyle w:val="Normal"/>
              <w:rPr>
                <w:sz w:val="20"/>
              </w:rPr>
            </w:pPr>
            <w:r>
              <w:rPr>
                <w:sz w:val="20"/>
              </w:rPr>
              <w:t>906(d) – Enforceability of Contracts With Uninsured National Banks, Uninsured Federal Branches and Agencies, Certain Uninsured State Member Banks, and Edge Act Corporations</w:t>
            </w:r>
          </w:p>
        </w:tc>
        <w:tc>
          <w:tcPr>
            <w:tcW w:w="2394" w:type="dxa"/>
            <w:tcBorders>
              <w:top w:val="single" w:sz="4" w:space="0" w:color="000000"/>
              <w:start w:val="single" w:sz="4" w:space="0" w:color="000000"/>
              <w:end w:val="single" w:sz="4" w:space="0" w:color="000000"/>
            </w:tcBorders>
          </w:tcPr>
          <w:p>
            <w:pPr>
              <w:pStyle w:val="Normal"/>
              <w:rPr>
                <w:sz w:val="20"/>
              </w:rPr>
            </w:pPr>
            <w:r>
              <w:rPr>
                <w:sz w:val="20"/>
              </w:rPr>
              <w:t>The Senate and the House Bills are substantively identical, except that the Senate Bill makes clear that OCC and Federal Reserve Board regulatory authority under this section is limited to its purpose, and the Senate Bill is better drafted from a technical perspective.</w:t>
            </w:r>
          </w:p>
        </w:tc>
        <w:tc>
          <w:tcPr>
            <w:tcW w:w="2394" w:type="dxa"/>
            <w:tcBorders>
              <w:top w:val="single" w:sz="4" w:space="0" w:color="000000"/>
              <w:start w:val="single" w:sz="4" w:space="0" w:color="000000"/>
              <w:end w:val="single" w:sz="4" w:space="0" w:color="000000"/>
            </w:tcBorders>
          </w:tcPr>
          <w:p>
            <w:pPr>
              <w:pStyle w:val="Normal"/>
              <w:rPr>
                <w:sz w:val="20"/>
              </w:rPr>
            </w:pPr>
            <w:r>
              <w:rPr>
                <w:sz w:val="20"/>
              </w:rPr>
              <w:t>The House should cede to the Senate.</w:t>
            </w:r>
          </w:p>
        </w:tc>
      </w:tr>
      <w:tr>
        <w:trPr/>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rPr>
                <w:b/>
                <w:sz w:val="20"/>
              </w:rPr>
            </w:pPr>
            <w:r>
              <w:rPr>
                <w:b/>
                <w:sz w:val="20"/>
              </w:rPr>
              <w:t>Amendments to the Bankruptcy Code:</w:t>
            </w:r>
          </w:p>
        </w:tc>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rPr>
                <w:sz w:val="20"/>
              </w:rPr>
            </w:pPr>
            <w:r>
              <w:rPr>
                <w:b/>
                <w:sz w:val="20"/>
              </w:rPr>
              <w:t>Amendments to the Bankruptcy Code:</w:t>
            </w:r>
          </w:p>
        </w:tc>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907(a) – Definitions of Forward Contract, Repurchase Agreement, Securities Clearing Agency, Swap Agreement, Commodity Contract, and Securities Contract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907(a) – Definitions of Forward Contract, Repurchase Agreement, Securities Clearing Agency, Swap Agreement, Commodity Contract, and Securities Contract</w:t>
            </w:r>
          </w:p>
        </w:tc>
        <w:tc>
          <w:tcPr>
            <w:tcW w:w="2394" w:type="dxa"/>
            <w:tcBorders>
              <w:top w:val="single" w:sz="4" w:space="0" w:color="000000"/>
              <w:start w:val="single" w:sz="4" w:space="0" w:color="000000"/>
              <w:bottom w:val="single" w:sz="4" w:space="0" w:color="000000"/>
              <w:end w:val="single" w:sz="4" w:space="0" w:color="000000"/>
            </w:tcBorders>
          </w:tcPr>
          <w:p>
            <w:pPr>
              <w:pStyle w:val="Normal"/>
              <w:rPr>
                <w:b/>
                <w:sz w:val="20"/>
              </w:rPr>
            </w:pPr>
            <w:r>
              <w:rPr>
                <w:sz w:val="20"/>
              </w:rPr>
              <w:t>The Senate and the House Bills are substantively identical, except that the Senate Bill provides that a swap agreement that “is of a type” that is subject of recurrent dealings in the swap markets can qualify as a “swap agreement”.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House should cede to the Senate because the language in the House Bill could be read to mean that the exact same agreement must be the subject of recurrent dealings to be a “swap agreement”.</w:t>
            </w:r>
          </w:p>
          <w:p>
            <w:pPr>
              <w:pStyle w:val="Normal"/>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907(b) – Definitions of Financial Institution, Financial Participant, and Forward Contract Merchant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907(b) – Definitions of Financial Institution, Financial Participant, and Forward Contract Merchant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The Senate and the House Bills are substantively identical. </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907(c) – Definition of Master Netting Agreement and Master Netting Agreement Participant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907(c) – Definition of Master Netting Agreement and Master Netting Agreement Participant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907(d) – Swap Agreements, Securities Contracts, Commodity Contracts, Forward Contracts, Repurchase Agreements, and Master Netting Agreements Under the Automatic Stay</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907(d) – Swap Agreements, Securities Contracts, Commodity Contracts, Forward Contracts, Repurchase Agreements, and Master Netting Agreements Under the Automatic Stay</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 except that the Senate Bill could be read to require that collateral pledged to a qualifying counterparty also be under its control for foreclosure to be exempt from the automatic stay.</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The Senate should cede to the House, because a counterparty’s foreclosure rights should apply even if it has repledged collateral to a third party. </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907(e) – Limitation of Avoidance Powers Under Master Netting Agreement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907(e) – Limitation of Avoidance Powers Under Master Netting Agreement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907(f) – Fraudulent Transfers of Master Netting Agreements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907(f) – Fraudulent Transfers of Master Netting Agreements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907(g) – Termination or Acceleration of Securities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907(g) – Termination or Acceleration of Securities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907(h) – Termination or Acceleration of Commodities or Forward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907(h) – Termination or Acceleration of Commodities or Forward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 except that the House Bill omits express reference to  rules of a “securities clearing agency” in the definition of “contractual right”.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House should cede to the Senate because the rules of a securities clearing agency should be expressly included in the definition of “contractual right”, as is the case under current Sections 555 and 559 of the Bankruptcy Code.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907(i) – Termination or Acceleration of Repurchase Agreements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907(i) – Termination or Acceleration of Repurchase Agreements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 except that the House Bill omits express reference to  rules of a “securities clearing agency” in the definition of “contractual right”.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House should cede to the Senate because the rules of a securities clearing agency should be expressly included in the definition of “contractual right”, as is the case under current Sections 555 and 559 of the Bankruptcy Code.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907(j) – Liquidation, Termination, or Acceleration of Swap Agreements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907(j) – Liquidation, Termination, or Acceleration of Swap Agreements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 except that the House Bill omits express reference to  rules of a “securities clearing agency” in the definition of “contractual right”.</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House should cede to the Senate because the rules of a securities clearing agency should be expressly included in the definition of “contractual right”, as is the case under current Sections 555 and 559 of the Bankruptcy Code.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907(k) – Liquidation, Termination, Acceleration, or Offset Under a Master Netting Agreement and Across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907(k) – Liquidation, Termination, Acceleration, or Offset Under a Master Netting Agreement and Across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 except that the House Bill omits express reference to  rules of a “securities clearing agency” in the definition of “contractual right”.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House should cede to the Senate because the rules of a securities clearing agency should be expressly included in the definition of “contractual right”, as is the case under current Sections 555 and 559 of the Bankruptcy Code.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907(l) – Commodity Broker Liquidations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907(l) – Commodity Broker Liquidations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907(m) – Stockbroker Liquidations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907(m) – Stockbroker Liquidations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907(n) – Setoff</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907(n) – Setoff</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907(o) – Securities Contracts, Commodity Contracts, and Forward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907(o) – Securities Contracts, Commodity Contracts, and Forward Contracts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 except that the House Bill omits express reference to  rules of a “securities clearing agency” in the definition of “contractual right”.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House should cede to the Senate because the rules of a securities clearing agency should be expressly included in the definition of “contractual right”, as is the case under current Sections 555 and 559 of the Bankruptcy Code.</w:t>
            </w:r>
          </w:p>
        </w:tc>
      </w:tr>
      <w:tr>
        <w:trPr/>
        <w:tc>
          <w:tcPr>
            <w:tcW w:w="2394" w:type="dxa"/>
            <w:tcBorders>
              <w:top w:val="single" w:sz="4" w:space="0" w:color="000000"/>
              <w:start w:val="single" w:sz="4" w:space="0" w:color="000000"/>
              <w:end w:val="single" w:sz="4" w:space="0" w:color="000000"/>
            </w:tcBorders>
          </w:tcPr>
          <w:p>
            <w:pPr>
              <w:pStyle w:val="Normal"/>
              <w:rPr>
                <w:sz w:val="20"/>
              </w:rPr>
            </w:pPr>
            <w:r>
              <w:rPr>
                <w:sz w:val="20"/>
              </w:rPr>
              <w:t>907(p) – Conforming Amendments</w:t>
            </w:r>
          </w:p>
        </w:tc>
        <w:tc>
          <w:tcPr>
            <w:tcW w:w="2394" w:type="dxa"/>
            <w:tcBorders>
              <w:top w:val="single" w:sz="4" w:space="0" w:color="000000"/>
              <w:start w:val="single" w:sz="4" w:space="0" w:color="000000"/>
              <w:end w:val="single" w:sz="4" w:space="0" w:color="000000"/>
            </w:tcBorders>
          </w:tcPr>
          <w:p>
            <w:pPr>
              <w:pStyle w:val="Normal"/>
              <w:rPr>
                <w:sz w:val="20"/>
              </w:rPr>
            </w:pPr>
            <w:r>
              <w:rPr>
                <w:sz w:val="20"/>
              </w:rPr>
              <w:t>907(p) – Conforming Amendments</w:t>
            </w:r>
          </w:p>
        </w:tc>
        <w:tc>
          <w:tcPr>
            <w:tcW w:w="2394" w:type="dxa"/>
            <w:tcBorders>
              <w:top w:val="single" w:sz="4" w:space="0" w:color="000000"/>
              <w:start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907A – Securities Broker/Commodity Broker Liquidation.</w:t>
            </w:r>
          </w:p>
        </w:tc>
        <w:tc>
          <w:tcPr>
            <w:tcW w:w="2394" w:type="dxa"/>
            <w:tcBorders>
              <w:top w:val="single" w:sz="4" w:space="0" w:color="000000"/>
              <w:start w:val="single" w:sz="4" w:space="0" w:color="000000"/>
              <w:bottom w:val="single" w:sz="4" w:space="0" w:color="000000"/>
              <w:end w:val="single" w:sz="4" w:space="0" w:color="000000"/>
            </w:tcBorders>
          </w:tcPr>
          <w:p>
            <w:pPr>
              <w:pStyle w:val="Normal"/>
              <w:rPr>
                <w:b/>
                <w:sz w:val="20"/>
              </w:rPr>
            </w:pPr>
            <w:r>
              <w:rPr>
                <w:sz w:val="20"/>
              </w:rPr>
              <w:t>907A – Securities Broker and Commodity Broker Liquidation.</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rPr>
                <w:b/>
                <w:sz w:val="20"/>
              </w:rPr>
            </w:pPr>
            <w:r>
              <w:rPr>
                <w:b/>
                <w:sz w:val="20"/>
              </w:rPr>
              <w:t>Amendments to FDIA:</w:t>
            </w:r>
          </w:p>
        </w:tc>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rPr>
                <w:b/>
                <w:sz w:val="20"/>
              </w:rPr>
            </w:pPr>
            <w:r>
              <w:rPr>
                <w:b/>
                <w:sz w:val="20"/>
              </w:rPr>
              <w:t>Amendments to FDIA:</w:t>
            </w:r>
          </w:p>
        </w:tc>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snapToGrid w:val="false"/>
              <w:rPr>
                <w:b/>
                <w:sz w:val="20"/>
              </w:rPr>
            </w:pPr>
            <w:r>
              <w:rPr>
                <w:b/>
                <w:sz w:val="20"/>
              </w:rPr>
            </w:r>
          </w:p>
        </w:tc>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908 – Recordkeeping Requirements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908 – Recordkeeping Requirements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different, in that the Senate Bill limits the FDIC’s recordkeeping authority in respect of qualified financial contracts to institutions that are in a troubled condition.</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House should cede to the Senate.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909 – Exemptions From Contemporaneous Execution Requirement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909 – Exemptions From Contemporaneous Execution Requirement</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The Senate and the House Bills are substantively identical. </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br/>
              <w:br/>
              <w:br/>
            </w:r>
          </w:p>
          <w:p>
            <w:pPr>
              <w:pStyle w:val="Normal"/>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rPr>
                <w:b/>
                <w:sz w:val="20"/>
              </w:rPr>
            </w:pPr>
            <w:r>
              <w:rPr>
                <w:b/>
                <w:sz w:val="20"/>
              </w:rPr>
              <w:t>Amendments to Bankruptcy Code:</w:t>
            </w:r>
          </w:p>
        </w:tc>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rPr>
                <w:sz w:val="20"/>
              </w:rPr>
            </w:pPr>
            <w:r>
              <w:rPr>
                <w:b/>
                <w:sz w:val="20"/>
              </w:rPr>
              <w:t>Amendments to Bankruptcy Code:</w:t>
            </w:r>
          </w:p>
        </w:tc>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snapToGrid w:val="false"/>
              <w:rPr>
                <w:sz w:val="20"/>
              </w:rPr>
            </w:pPr>
            <w:r>
              <w:rPr>
                <w:sz w:val="20"/>
              </w:rPr>
            </w:r>
          </w:p>
        </w:tc>
        <w:tc>
          <w:tcPr>
            <w:tcW w:w="2394" w:type="dxa"/>
            <w:tcBorders>
              <w:top w:val="single" w:sz="4" w:space="0" w:color="000000"/>
              <w:start w:val="single" w:sz="4" w:space="0" w:color="000000"/>
              <w:bottom w:val="single" w:sz="4" w:space="0" w:color="000000"/>
              <w:end w:val="single" w:sz="4" w:space="0" w:color="000000"/>
            </w:tcBorders>
            <w:shd w:fill="DFDFDF" w:val="clear"/>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910(a) – Damage Measure:  In General</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910(a) – Damage Measure:  In General</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910(b) – Claims Arising From Rejection</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910(b) – Claims Arising From Rejection</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911 – SIPC Stay</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911 – SIPC Stay</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912 – Asset-Backed Securitizations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912 – Asset-Backed Securitizations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substantively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913 – Effective Date; Application of Amendments.</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 specific effective date provision for Title IX.</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The provisions in Title IX of the Senate Bill would become effective upon enactment, whereas the provisions in Title IX of the House Bill would become effective 180 days after enactment. </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The House should cede to the Senate, as there is no policy reason to delay the effective date of the provisions of Title IX.  </w:t>
            </w:r>
          </w:p>
          <w:p>
            <w:pPr>
              <w:pStyle w:val="Normal"/>
              <w:rPr>
                <w:sz w:val="20"/>
              </w:rPr>
            </w:pPr>
            <w:r>
              <w:rPr>
                <w:sz w:val="20"/>
              </w:rPr>
            </w:r>
          </w:p>
          <w:p>
            <w:pPr>
              <w:pStyle w:val="Normal"/>
              <w:rPr>
                <w:sz w:val="20"/>
              </w:rPr>
            </w:pPr>
            <w:r>
              <w:rPr>
                <w:sz w:val="20"/>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914 – Savings Clause</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 comparable provision.</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Section 914 of the Senate Bill provides that the meaning of terms used in Title IX of the Senate Bill do not affect the meaning of similar terms under other statutes.  The House Bill has no comparable provision of general application.</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House should cede to the Senate.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502 – Applicability of Other Sections to Chapter 9</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502 – Applicability of Other Sections to Chapter 9</w:t>
            </w:r>
          </w:p>
        </w:tc>
        <w:tc>
          <w:tcPr>
            <w:tcW w:w="239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The Senate and the House Bills are identical.</w:t>
            </w:r>
          </w:p>
        </w:tc>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tab/>
        <w:tab/>
        <w:tab/>
        <w:tab/>
        <w:tab/>
      </w:r>
    </w:p>
    <w:p>
      <w:pPr>
        <w:pStyle w:val="Normal"/>
        <w:rPr>
          <w:sz w:val="20"/>
        </w:rPr>
      </w:pPr>
      <w:r>
        <w:rPr>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lineRule="exact" w:line="6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snapToGrid w:val="false"/>
            <w:jc w:val="center"/>
            <w:rPr>
              <w:rStyle w:val="iManageFooter"/>
            </w:rPr>
          </w:pPr>
          <w:r>
            <w:rPr/>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lineRule="exact" w:line="60"/>
      <w:rPr>
        <w:rStyle w:val="FooterRightSideTe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left" w:pos="7920" w:leader="none"/>
        <w:tab w:val="right" w:pos="8640" w:leader="none"/>
      </w:tabs>
      <w:rPr/>
    </w:pPr>
    <w:r>
      <w:rPr/>
      <w:tab/>
      <w:t>Draft 3/22/01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FooterRightSideText">
    <w:name w:val="FooterRightSideText"/>
    <w:basedOn w:val="DefaultParagraphFont"/>
    <w:qFormat/>
    <w:rPr/>
  </w:style>
  <w:style w:type="character" w:styleId="iManageFooter">
    <w:name w:val="iManage Footer"/>
    <w:basedOn w:val="DefaultParagraphFont"/>
    <w:qFormat/>
    <w:rPr>
      <w:sz w:val="16"/>
      <w:lang w:val="en-CA" w:eastAsia="en-CA"/>
    </w:rPr>
  </w:style>
  <w:style w:type="character" w:styleId="PageNumber">
    <w:name w:val="page number"/>
    <w:basedOn w:val="DefaultParagraphFont"/>
    <w:rPr/>
  </w:style>
  <w:style w:type="character" w:styleId="CommentReference">
    <w:name w:val="Comment Reference"/>
    <w:basedOn w:val="DefaultParagraphFont"/>
    <w:qFormat/>
    <w:rPr>
      <w:sz w:val="16"/>
      <w:lang w:val="en-US"/>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G-Bullet">
    <w:name w:val="CG-Bullet"/>
    <w:basedOn w:val="Normal"/>
    <w:qFormat/>
    <w:pPr>
      <w:numPr>
        <w:ilvl w:val="0"/>
        <w:numId w:val="4"/>
      </w:numPr>
    </w:pPr>
    <w:rPr>
      <w:sz w:val="24"/>
    </w:rPr>
  </w:style>
  <w:style w:type="paragraph" w:styleId="CG-DblInd05">
    <w:name w:val="CG-Dbl Ind 0.5"/>
    <w:basedOn w:val="Normal"/>
    <w:qFormat/>
    <w:pPr>
      <w:spacing w:before="0" w:after="240"/>
      <w:ind w:hanging="0" w:start="720" w:end="720"/>
    </w:pPr>
    <w:rPr>
      <w:sz w:val="24"/>
    </w:rPr>
  </w:style>
  <w:style w:type="paragraph" w:styleId="CG-DblInd1">
    <w:name w:val="CG-Dbl Ind 1"/>
    <w:basedOn w:val="Normal"/>
    <w:qFormat/>
    <w:pPr>
      <w:spacing w:before="0" w:after="240"/>
      <w:ind w:hanging="0" w:start="1440" w:end="1440"/>
    </w:pPr>
    <w:rPr>
      <w:sz w:val="24"/>
    </w:rPr>
  </w:style>
  <w:style w:type="paragraph" w:styleId="CG-DblSp05">
    <w:name w:val="CG-Dbl Sp 0.5"/>
    <w:basedOn w:val="Normal"/>
    <w:qFormat/>
    <w:pPr>
      <w:spacing w:lineRule="auto" w:line="480"/>
      <w:ind w:firstLine="720" w:start="0" w:end="0"/>
    </w:pPr>
    <w:rPr>
      <w:sz w:val="24"/>
    </w:rPr>
  </w:style>
  <w:style w:type="paragraph" w:styleId="CG-DblSp1">
    <w:name w:val="CG-Dbl Sp 1"/>
    <w:basedOn w:val="Normal"/>
    <w:qFormat/>
    <w:pPr>
      <w:spacing w:lineRule="auto" w:line="480"/>
      <w:ind w:firstLine="1440" w:start="0" w:end="0"/>
    </w:pPr>
    <w:rPr>
      <w:sz w:val="24"/>
    </w:rPr>
  </w:style>
  <w:style w:type="paragraph" w:styleId="CG-DblSp">
    <w:name w:val="CG-Dbl Sp"/>
    <w:basedOn w:val="Normal"/>
    <w:qFormat/>
    <w:pPr>
      <w:spacing w:lineRule="auto" w:line="480"/>
    </w:pPr>
    <w:rPr>
      <w:sz w:val="24"/>
    </w:rPr>
  </w:style>
  <w:style w:type="paragraph" w:styleId="CG-LeftInd05FL05">
    <w:name w:val="CG-Left Ind 0.5 FL 0.5"/>
    <w:basedOn w:val="Normal"/>
    <w:qFormat/>
    <w:pPr>
      <w:spacing w:before="0" w:after="240"/>
      <w:ind w:firstLine="720" w:start="720" w:end="0"/>
    </w:pPr>
    <w:rPr>
      <w:sz w:val="24"/>
    </w:rPr>
  </w:style>
  <w:style w:type="paragraph" w:styleId="CG-LeftInd05">
    <w:name w:val="CG-Left Ind 0.5"/>
    <w:basedOn w:val="Normal"/>
    <w:qFormat/>
    <w:pPr>
      <w:spacing w:before="0" w:after="240"/>
      <w:ind w:hanging="0" w:start="720" w:end="0"/>
    </w:pPr>
    <w:rPr>
      <w:sz w:val="24"/>
    </w:rPr>
  </w:style>
  <w:style w:type="paragraph" w:styleId="CG-LeftInd1">
    <w:name w:val="CG-Left Ind 1"/>
    <w:basedOn w:val="Normal"/>
    <w:qFormat/>
    <w:pPr>
      <w:spacing w:before="0" w:after="240"/>
      <w:ind w:hanging="0" w:start="1440" w:end="0"/>
    </w:pPr>
    <w:rPr>
      <w:sz w:val="24"/>
    </w:rPr>
  </w:style>
  <w:style w:type="paragraph" w:styleId="CG-NumberA">
    <w:name w:val="CG-Number A"/>
    <w:basedOn w:val="Normal"/>
    <w:qFormat/>
    <w:pPr>
      <w:numPr>
        <w:ilvl w:val="0"/>
        <w:numId w:val="5"/>
      </w:numPr>
      <w:spacing w:before="0" w:after="240"/>
    </w:pPr>
    <w:rPr>
      <w:sz w:val="24"/>
    </w:rPr>
  </w:style>
  <w:style w:type="paragraph" w:styleId="CG-NumberL">
    <w:name w:val="CG-Number L"/>
    <w:basedOn w:val="Normal"/>
    <w:qFormat/>
    <w:pPr>
      <w:numPr>
        <w:ilvl w:val="0"/>
        <w:numId w:val="3"/>
      </w:numPr>
      <w:ind w:hanging="720" w:start="1440" w:end="0"/>
    </w:pPr>
    <w:rPr>
      <w:sz w:val="24"/>
    </w:rPr>
  </w:style>
  <w:style w:type="paragraph" w:styleId="CG-Numberl1">
    <w:name w:val="CG-Number l1"/>
    <w:basedOn w:val="Normal"/>
    <w:qFormat/>
    <w:pPr>
      <w:numPr>
        <w:ilvl w:val="0"/>
        <w:numId w:val="7"/>
      </w:numPr>
      <w:ind w:hanging="720" w:start="1440" w:end="0"/>
    </w:pPr>
    <w:rPr>
      <w:sz w:val="24"/>
    </w:rPr>
  </w:style>
  <w:style w:type="paragraph" w:styleId="CG-NumberR">
    <w:name w:val="CG-Number R"/>
    <w:basedOn w:val="Normal"/>
    <w:qFormat/>
    <w:pPr>
      <w:numPr>
        <w:ilvl w:val="0"/>
        <w:numId w:val="8"/>
      </w:numPr>
      <w:ind w:hanging="0" w:start="1440" w:end="0"/>
    </w:pPr>
    <w:rPr>
      <w:sz w:val="24"/>
    </w:rPr>
  </w:style>
  <w:style w:type="paragraph" w:styleId="CG-Numberr1">
    <w:name w:val="CG-Number r1"/>
    <w:basedOn w:val="Normal"/>
    <w:qFormat/>
    <w:pPr>
      <w:numPr>
        <w:ilvl w:val="0"/>
        <w:numId w:val="6"/>
      </w:numPr>
      <w:tabs>
        <w:tab w:val="clear" w:pos="720"/>
      </w:tabs>
      <w:ind w:hanging="720" w:start="1440" w:end="0"/>
    </w:pPr>
    <w:rPr>
      <w:sz w:val="24"/>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z w:val="24"/>
    </w:rPr>
  </w:style>
  <w:style w:type="paragraph" w:styleId="CG-SigLtr">
    <w:name w:val="CG-Sig Ltr"/>
    <w:basedOn w:val="Normal"/>
    <w:qFormat/>
    <w:pPr>
      <w:keepNext w:val="true"/>
      <w:spacing w:before="0" w:after="720"/>
      <w:ind w:hanging="0" w:start="5040" w:end="0"/>
    </w:pPr>
    <w:rPr>
      <w:sz w:val="24"/>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z w:val="24"/>
    </w:rPr>
  </w:style>
  <w:style w:type="paragraph" w:styleId="CG-SingleSp05">
    <w:name w:val="CG-Single Sp 0.5"/>
    <w:basedOn w:val="Normal"/>
    <w:qFormat/>
    <w:pPr>
      <w:spacing w:before="0" w:after="240"/>
      <w:ind w:firstLine="720" w:start="0" w:end="0"/>
    </w:pPr>
    <w:rPr>
      <w:sz w:val="24"/>
    </w:rPr>
  </w:style>
  <w:style w:type="paragraph" w:styleId="CG-SingleSp1">
    <w:name w:val="CG-Single Sp 1"/>
    <w:basedOn w:val="Normal"/>
    <w:qFormat/>
    <w:pPr>
      <w:spacing w:before="0" w:after="240"/>
      <w:ind w:firstLine="1440" w:start="0" w:end="0"/>
    </w:pPr>
    <w:rPr>
      <w:sz w:val="24"/>
    </w:rPr>
  </w:style>
  <w:style w:type="paragraph" w:styleId="CG-SingleSp">
    <w:name w:val="CG-Single Sp"/>
    <w:basedOn w:val="Normal"/>
    <w:qFormat/>
    <w:pPr>
      <w:spacing w:before="0" w:after="240"/>
    </w:pPr>
    <w:rPr>
      <w:sz w:val="24"/>
    </w:rPr>
  </w:style>
  <w:style w:type="paragraph" w:styleId="CG-Title-Center-Bold">
    <w:name w:val="CG-Title-Center-Bold"/>
    <w:basedOn w:val="Normal"/>
    <w:next w:val="CG-SingleSp1"/>
    <w:qFormat/>
    <w:pPr>
      <w:keepNext w:val="true"/>
      <w:spacing w:before="0" w:after="240"/>
      <w:jc w:val="center"/>
    </w:pPr>
    <w:rPr>
      <w:b/>
      <w:sz w:val="24"/>
    </w:rPr>
  </w:style>
  <w:style w:type="paragraph" w:styleId="CG-Title-Center-Underscore">
    <w:name w:val="CG-Title-Center-Underscore"/>
    <w:basedOn w:val="Normal"/>
    <w:next w:val="CG-SingleSp1"/>
    <w:qFormat/>
    <w:pPr>
      <w:keepNext w:val="true"/>
      <w:spacing w:before="0" w:after="240"/>
      <w:jc w:val="center"/>
    </w:pPr>
    <w:rPr>
      <w:sz w:val="24"/>
      <w:u w:val="single"/>
    </w:rPr>
  </w:style>
  <w:style w:type="paragraph" w:styleId="CG-Title-Left-Bold">
    <w:name w:val="CG-Title-Left-Bold"/>
    <w:basedOn w:val="Normal"/>
    <w:next w:val="CG-SingleSp1"/>
    <w:qFormat/>
    <w:pPr>
      <w:keepNext w:val="true"/>
      <w:spacing w:before="0" w:after="240"/>
    </w:pPr>
    <w:rPr>
      <w:b/>
      <w:sz w:val="24"/>
    </w:rPr>
  </w:style>
  <w:style w:type="paragraph" w:styleId="CG-Title-Left-Underscore">
    <w:name w:val="CG-Title-Left-Underscore"/>
    <w:basedOn w:val="Normal"/>
    <w:next w:val="CG-SingleSp1"/>
    <w:qFormat/>
    <w:pPr>
      <w:keepNext w:val="true"/>
      <w:spacing w:before="0" w:after="240"/>
    </w:pPr>
    <w:rPr>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ListBullet">
    <w:name w:val="List Bullet"/>
    <w:basedOn w:val="Normal"/>
    <w:qFormat/>
    <w:pPr>
      <w:numPr>
        <w:ilvl w:val="0"/>
        <w:numId w:val="2"/>
      </w:numPr>
    </w:pPr>
    <w:rPr>
      <w:sz w:val="24"/>
    </w:rPr>
  </w:style>
  <w:style w:type="paragraph" w:styleId="TableBullets">
    <w:name w:val="Table Bullets"/>
    <w:basedOn w:val="Normal"/>
    <w:qFormat/>
    <w:pPr>
      <w:numPr>
        <w:ilvl w:val="0"/>
        <w:numId w:val="9"/>
      </w:numPr>
      <w:spacing w:before="60" w:after="60"/>
    </w:pPr>
    <w:rPr/>
  </w:style>
  <w:style w:type="paragraph" w:styleId="CommentText">
    <w:name w:val="Comment Text"/>
    <w:basedOn w:val="Normal"/>
    <w:qFormat/>
    <w:pPr/>
    <w:rPr>
      <w:sz w:val="20"/>
    </w:rPr>
  </w:style>
  <w:style w:type="paragraph" w:styleId="FootnoteText">
    <w:name w:val="footnote text"/>
    <w:basedOn w:val="Normal"/>
    <w:pPr/>
    <w:rPr>
      <w:sz w:val="20"/>
    </w:rPr>
  </w:style>
  <w:style w:type="paragraph" w:styleId="CG-OneandOne-Half1">
    <w:name w:val="CG-One and One-Half 1"/>
    <w:basedOn w:val="Normal"/>
    <w:qFormat/>
    <w:pPr>
      <w:spacing w:lineRule="auto" w:line="360" w:before="0" w:after="120"/>
      <w:ind w:firstLine="1440" w:start="0" w:end="0"/>
    </w:pPr>
    <w:rPr/>
  </w:style>
  <w:style w:type="paragraph" w:styleId="CG-Title-Center">
    <w:name w:val="CG-Title-Center"/>
    <w:basedOn w:val="Normal"/>
    <w:next w:val="Normal"/>
    <w:qFormat/>
    <w:pPr>
      <w:keepNext w:val="true"/>
      <w:spacing w:before="0" w:after="240"/>
      <w:jc w:val="center"/>
    </w:pPr>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York</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2001-03-22T17:42:00Z</dcterms:created>
  <dc:creator>New York Office</dc:creator>
  <dc:description/>
  <dc:language>en-CA</dc:language>
  <cp:lastModifiedBy>Stacy Carey</cp:lastModifiedBy>
  <cp:lastPrinted>2001-03-22T15:12:00Z</cp:lastPrinted>
  <dcterms:modified xsi:type="dcterms:W3CDTF">2001-03-22T19:07:00Z</dcterms:modified>
  <cp:revision>4</cp:revision>
  <dc:subject/>
  <dc:title>Comparison of Title X and Section 502 of 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
  </property>
  <property fmtid="{D5CDD505-2E9C-101B-9397-08002B2CF9AE}" pid="3" name="DocName">
    <vt:lpwstr/>
  </property>
  <property fmtid="{D5CDD505-2E9C-101B-9397-08002B2CF9AE}" pid="4" name="DocNumber">
    <vt:lpwstr/>
  </property>
  <property fmtid="{D5CDD505-2E9C-101B-9397-08002B2CF9AE}" pid="5" name="DocVersion">
    <vt:lpwstr/>
  </property>
  <property fmtid="{D5CDD505-2E9C-101B-9397-08002B2CF9AE}" pid="6" name="FooterRightSideText">
    <vt:lpwstr> </vt:lpwstr>
  </property>
  <property fmtid="{D5CDD505-2E9C-101B-9397-08002B2CF9AE}" pid="7" name="SaveDocLibrary">
    <vt:lpwstr>[New York</vt:lpwstr>
  </property>
  <property fmtid="{D5CDD505-2E9C-101B-9397-08002B2CF9AE}" pid="8" name="SaveDocName">
    <vt:lpwstr/>
  </property>
  <property fmtid="{D5CDD505-2E9C-101B-9397-08002B2CF9AE}" pid="9" name="SaveDocNumber">
    <vt:lpwstr> #723836</vt:lpwstr>
  </property>
  <property fmtid="{D5CDD505-2E9C-101B-9397-08002B2CF9AE}" pid="10" name="SaveDocVersion">
    <vt:lpwstr> v5]</vt:lpwstr>
  </property>
  <property fmtid="{D5CDD505-2E9C-101B-9397-08002B2CF9AE}" pid="11" name="SaveFooterRightSideText">
    <vt:lpwstr> </vt:lpwstr>
  </property>
  <property fmtid="{D5CDD505-2E9C-101B-9397-08002B2CF9AE}" pid="12" name="iManageFooter">
    <vt:lpwstr>None</vt:lpwstr>
  </property>
</Properties>
</file>