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settings.xml" ContentType="application/vnd.openxmlformats-officedocument.wordprocessingml.settings+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rPr>
          <w:rFonts w:ascii="Arial" w:hAnsi="Arial" w:cs="Arial"/>
          <w:sz w:val="24"/>
        </w:rPr>
      </w:pPr>
      <w:r>
        <w:rPr>
          <w:rFonts w:cs="Arial" w:ascii="Arial" w:hAnsi="Arial"/>
          <w:sz w:val="24"/>
        </w:rPr>
      </w:r>
    </w:p>
    <w:p>
      <w:pPr>
        <w:pStyle w:val="Normal"/>
        <w:jc w:val="center"/>
        <w:rPr>
          <w:rFonts w:cs="Arial"/>
          <w:sz w:val="28"/>
        </w:rPr>
      </w:pPr>
      <w:r>
        <w:rPr>
          <w:rFonts w:cs="Arial" w:ascii="Arial" w:hAnsi="Arial"/>
          <w:b/>
          <w:smallCaps/>
          <w:sz w:val="24"/>
        </w:rPr>
        <w:t>Proposal IV</w:t>
      </w:r>
    </w:p>
    <w:p>
      <w:pPr>
        <w:pStyle w:val="Normal"/>
        <w:jc w:val="center"/>
        <w:rPr>
          <w:rFonts w:cs="Arial"/>
          <w:sz w:val="24"/>
        </w:rPr>
      </w:pPr>
      <w:r>
        <w:rPr>
          <w:rFonts w:cs="Arial"/>
          <w:sz w:val="24"/>
        </w:rPr>
      </w:r>
    </w:p>
    <w:p>
      <w:pPr>
        <w:pStyle w:val="Normal"/>
        <w:jc w:val="center"/>
        <w:rPr>
          <w:rFonts w:ascii="Arial" w:hAnsi="Arial" w:cs="Arial"/>
          <w:sz w:val="24"/>
        </w:rPr>
      </w:pPr>
      <w:r>
        <w:rPr>
          <w:rFonts w:cs="Arial" w:ascii="Arial" w:hAnsi="Arial"/>
          <w:sz w:val="24"/>
        </w:rPr>
        <w:t>Adopt Sick Leave Procedures</w:t>
      </w:r>
    </w:p>
    <w:p>
      <w:pPr>
        <w:pStyle w:val="Normal"/>
        <w:rPr>
          <w:rFonts w:ascii="Arial" w:hAnsi="Arial" w:cs="Arial"/>
          <w:sz w:val="24"/>
        </w:rPr>
      </w:pPr>
      <w:r>
        <w:rPr>
          <w:rFonts w:cs="Arial" w:ascii="Arial" w:hAnsi="Arial"/>
          <w:sz w:val="24"/>
        </w:rPr>
      </w:r>
    </w:p>
    <w:p>
      <w:pPr>
        <w:pStyle w:val="Heading1"/>
        <w:ind w:hanging="0" w:start="0"/>
        <w:rPr>
          <w:rFonts w:ascii="Arial" w:hAnsi="Arial" w:cs="Arial"/>
          <w:b/>
          <w:bCs/>
          <w:sz w:val="24"/>
        </w:rPr>
      </w:pPr>
      <w:r>
        <w:rPr>
          <w:rFonts w:cs="Arial" w:ascii="Arial" w:hAnsi="Arial"/>
          <w:b/>
          <w:bCs/>
          <w:sz w:val="24"/>
        </w:rPr>
      </w:r>
    </w:p>
    <w:p>
      <w:pPr>
        <w:pStyle w:val="Normal"/>
        <w:rPr>
          <w:rFonts w:ascii="Arial" w:hAnsi="Arial" w:cs="Arial"/>
          <w:b/>
          <w:bCs/>
        </w:rPr>
      </w:pPr>
      <w:r>
        <w:rPr>
          <w:rFonts w:cs="Arial" w:ascii="Arial" w:hAnsi="Arial"/>
          <w:b/>
          <w:bCs/>
        </w:rPr>
      </w:r>
    </w:p>
    <w:p>
      <w:pPr>
        <w:pStyle w:val="Normal"/>
        <w:jc w:val="center"/>
        <w:rPr>
          <w:rFonts w:cs="Arial"/>
          <w:sz w:val="24"/>
        </w:rPr>
      </w:pPr>
      <w:r>
        <w:rPr>
          <w:sz w:val="24"/>
        </w:rPr>
        <w:t xml:space="preserve">SICK LEAVE POLICY </w:t>
      </w:r>
    </w:p>
    <w:p>
      <w:pPr>
        <w:pStyle w:val="Normal"/>
        <w:rPr>
          <w:rFonts w:cs="Arial"/>
          <w:sz w:val="24"/>
        </w:rPr>
      </w:pPr>
      <w:r>
        <w:rPr>
          <w:rFonts w:cs="Arial"/>
          <w:sz w:val="24"/>
        </w:rPr>
      </w:r>
    </w:p>
    <w:p>
      <w:pPr>
        <w:pStyle w:val="Normal"/>
        <w:rPr>
          <w:rFonts w:ascii="Arial" w:hAnsi="Arial" w:cs="Arial"/>
          <w:b/>
          <w:bCs/>
          <w:sz w:val="24"/>
          <w:u w:val="single"/>
        </w:rPr>
      </w:pPr>
      <w:r>
        <w:rPr>
          <w:rFonts w:cs="Arial" w:ascii="Arial" w:hAnsi="Arial"/>
          <w:b/>
          <w:bCs/>
          <w:sz w:val="24"/>
          <w:u w:val="single"/>
        </w:rPr>
        <w:t>Policy</w:t>
      </w:r>
    </w:p>
    <w:p>
      <w:pPr>
        <w:pStyle w:val="Normal"/>
        <w:rPr>
          <w:rFonts w:ascii="Arial" w:hAnsi="Arial" w:cs="Arial"/>
          <w:b/>
          <w:bCs/>
          <w:sz w:val="24"/>
          <w:u w:val="single"/>
        </w:rPr>
      </w:pPr>
      <w:r>
        <w:rPr>
          <w:rFonts w:cs="Arial" w:ascii="Arial" w:hAnsi="Arial"/>
          <w:b/>
          <w:bCs/>
          <w:sz w:val="24"/>
          <w:u w:val="single"/>
        </w:rPr>
      </w:r>
    </w:p>
    <w:p>
      <w:pPr>
        <w:pStyle w:val="Normal"/>
        <w:rPr>
          <w:sz w:val="24"/>
        </w:rPr>
      </w:pPr>
      <w:r>
        <w:rPr>
          <w:sz w:val="24"/>
        </w:rPr>
        <w:t>To keep the business and each department running smoothly and efficiently, it is important that every employee be on the job on time regularly.  For this reason, careful attention is given to promptness, absence record and overall dependability.</w:t>
      </w:r>
    </w:p>
    <w:p>
      <w:pPr>
        <w:pStyle w:val="Normal"/>
        <w:rPr>
          <w:sz w:val="24"/>
        </w:rPr>
      </w:pPr>
      <w:r>
        <w:rPr>
          <w:sz w:val="24"/>
        </w:rPr>
      </w:r>
    </w:p>
    <w:p>
      <w:pPr>
        <w:pStyle w:val="Normal"/>
        <w:rPr>
          <w:sz w:val="24"/>
        </w:rPr>
      </w:pPr>
      <w:r>
        <w:rPr>
          <w:sz w:val="24"/>
        </w:rPr>
        <w:t>Enron recognizes, however, that an employee may occasionally be unable to come to work due to injury or illness.  As a result, the Sick Leave policy is designed to provide protection to employees against loss of income during short-term medical absence, illness or injury.</w:t>
      </w:r>
    </w:p>
    <w:p>
      <w:pPr>
        <w:pStyle w:val="Normal"/>
        <w:rPr>
          <w:rFonts w:cs="Arial"/>
          <w:sz w:val="24"/>
        </w:rPr>
      </w:pPr>
      <w:r>
        <w:rPr>
          <w:rFonts w:cs="Arial"/>
          <w:sz w:val="24"/>
        </w:rPr>
      </w:r>
    </w:p>
    <w:p>
      <w:pPr>
        <w:pStyle w:val="Normal"/>
        <w:rPr/>
      </w:pPr>
      <w:r>
        <w:rPr>
          <w:emboss/>
          <w:color w:val="0000FF"/>
          <w:sz w:val="22"/>
          <w:szCs w:val="24"/>
          <w:u w:val="single"/>
        </w:rPr>
        <w:t>Eligible employees</w:t>
      </w:r>
      <w:r>
        <w:rPr>
          <w:sz w:val="24"/>
        </w:rPr>
        <w:t xml:space="preserve"> who are unable to perform their jobs due to medical absence, illness or injury are eligible to receive </w:t>
      </w:r>
      <w:r>
        <w:rPr>
          <w:emboss/>
          <w:color w:val="0000FF"/>
          <w:sz w:val="22"/>
          <w:szCs w:val="24"/>
          <w:u w:val="single"/>
        </w:rPr>
        <w:t>sick leave pay</w:t>
      </w:r>
      <w:r>
        <w:rPr>
          <w:sz w:val="24"/>
        </w:rPr>
        <w:t xml:space="preserve"> for up to 1,040 hours (6 months) in a twelve month period, assuming certain</w:t>
      </w:r>
      <w:r>
        <w:rPr>
          <w:b/>
          <w:bCs/>
          <w:sz w:val="24"/>
        </w:rPr>
        <w:t xml:space="preserve"> </w:t>
      </w:r>
      <w:r>
        <w:rPr>
          <w:emboss/>
          <w:color w:val="0000FF"/>
          <w:sz w:val="22"/>
          <w:szCs w:val="24"/>
          <w:u w:val="single"/>
        </w:rPr>
        <w:t>procedures</w:t>
      </w:r>
      <w:r>
        <w:rPr>
          <w:b/>
          <w:bCs/>
          <w:sz w:val="24"/>
        </w:rPr>
        <w:t xml:space="preserve"> </w:t>
      </w:r>
      <w:r>
        <w:rPr>
          <w:sz w:val="24"/>
        </w:rPr>
        <w:t xml:space="preserve">are followed. </w:t>
      </w:r>
      <w:r>
        <w:rPr>
          <w:rFonts w:cs="Courier New" w:ascii="Courier New" w:hAnsi="Courier New"/>
        </w:rPr>
        <w:t xml:space="preserve"> </w:t>
      </w:r>
      <w:r>
        <w:rPr>
          <w:sz w:val="24"/>
        </w:rPr>
        <w:t xml:space="preserve">  Effective January 1, 2002, the Family Medical Leave Act (FMLA) runs concurrently with Enron’s Sick Leave policy.  An employee who cannot return to work after the 1,040 hours of sick leave pay ends may qualify for </w:t>
      </w:r>
      <w:r>
        <w:rPr>
          <w:emboss/>
          <w:color w:val="0000FF"/>
          <w:sz w:val="22"/>
          <w:szCs w:val="24"/>
          <w:u w:val="single"/>
        </w:rPr>
        <w:t>long term disability</w:t>
      </w:r>
      <w:r>
        <w:rPr>
          <w:color w:val="0000FF"/>
          <w:sz w:val="24"/>
          <w:u w:val="single"/>
        </w:rPr>
        <w:t xml:space="preserve"> </w:t>
      </w:r>
      <w:r>
        <w:rPr>
          <w:emboss/>
          <w:color w:val="0000FF"/>
          <w:sz w:val="22"/>
          <w:szCs w:val="24"/>
          <w:u w:val="single"/>
        </w:rPr>
        <w:t>insurance.</w:t>
      </w:r>
      <w:r>
        <w:rPr>
          <w:sz w:val="24"/>
        </w:rPr>
        <w:t xml:space="preserve">  Sick days cannot be carried over from one calendar year to the next and employees are not paid for unused sick days. </w:t>
      </w:r>
    </w:p>
    <w:p>
      <w:pPr>
        <w:pStyle w:val="Normal"/>
        <w:rPr>
          <w:sz w:val="24"/>
        </w:rPr>
      </w:pPr>
      <w:r>
        <w:rPr>
          <w:sz w:val="24"/>
        </w:rPr>
      </w:r>
    </w:p>
    <w:p>
      <w:pPr>
        <w:pStyle w:val="Normal"/>
        <w:rPr>
          <w:rFonts w:ascii="Arial" w:hAnsi="Arial" w:cs="Arial"/>
          <w:b/>
          <w:bCs/>
          <w:sz w:val="24"/>
          <w:u w:val="single"/>
        </w:rPr>
      </w:pPr>
      <w:r>
        <w:rPr>
          <w:rFonts w:cs="Arial" w:ascii="Arial" w:hAnsi="Arial"/>
          <w:b/>
          <w:bCs/>
          <w:sz w:val="24"/>
          <w:u w:val="single"/>
        </w:rPr>
        <w:t>Proposed Policy Link</w:t>
      </w:r>
    </w:p>
    <w:p>
      <w:pPr>
        <w:pStyle w:val="Normal"/>
        <w:rPr>
          <w:rFonts w:ascii="Arial" w:hAnsi="Arial" w:cs="Arial"/>
          <w:b/>
          <w:bCs/>
          <w:sz w:val="24"/>
          <w:u w:val="single"/>
        </w:rPr>
      </w:pPr>
      <w:r>
        <w:rPr>
          <w:rFonts w:cs="Arial" w:ascii="Arial" w:hAnsi="Arial"/>
          <w:b/>
          <w:bCs/>
          <w:sz w:val="24"/>
          <w:u w:val="single"/>
        </w:rPr>
      </w:r>
    </w:p>
    <w:p>
      <w:pPr>
        <w:pStyle w:val="Normal"/>
        <w:rPr>
          <w:emboss/>
          <w:color w:val="0000FF"/>
          <w:sz w:val="22"/>
          <w:szCs w:val="24"/>
          <w:u w:val="single"/>
        </w:rPr>
      </w:pPr>
      <w:r>
        <w:rPr>
          <w:emboss/>
          <w:color w:val="0000FF"/>
          <w:sz w:val="22"/>
          <w:szCs w:val="24"/>
          <w:u w:val="single"/>
        </w:rPr>
        <w:t>Procedures –</w:t>
      </w:r>
    </w:p>
    <w:p>
      <w:pPr>
        <w:pStyle w:val="Normal"/>
        <w:rPr>
          <w:emboss/>
          <w:color w:val="0000FF"/>
          <w:sz w:val="22"/>
          <w:szCs w:val="24"/>
          <w:u w:val="single"/>
        </w:rPr>
      </w:pPr>
      <w:r>
        <w:rPr>
          <w:emboss/>
          <w:color w:val="0000FF"/>
          <w:sz w:val="22"/>
          <w:szCs w:val="24"/>
          <w:u w:val="single"/>
        </w:rPr>
      </w:r>
    </w:p>
    <w:p>
      <w:pPr>
        <w:pStyle w:val="BodyText"/>
        <w:rPr>
          <w:rFonts w:ascii="Times New Roman" w:hAnsi="Times New Roman" w:cs="Times New Roman"/>
          <w:sz w:val="24"/>
        </w:rPr>
      </w:pPr>
      <w:r>
        <w:rPr>
          <w:rFonts w:cs="Times New Roman" w:ascii="Times New Roman" w:hAnsi="Times New Roman"/>
          <w:sz w:val="24"/>
        </w:rPr>
        <w:t>1.  If you will be absent, you must telephone your supervisor directly at the start of your workday.  You must contact your supervisor each day you are out.  If your supervisor is not available, your human resources representative should be contacted.  Failure to comply with the absence notification procedure can result in discipline.  Failure to call in to report your absence for 3 consecutive workdays may be considered a voluntary quit.  For FMLA absences, see the Medical Leave Policy.</w:t>
      </w:r>
    </w:p>
    <w:p>
      <w:pPr>
        <w:pStyle w:val="Normal"/>
        <w:rPr>
          <w:rFonts w:ascii="Times New Roman" w:hAnsi="Times New Roman" w:cs="Times New Roman"/>
          <w:sz w:val="24"/>
        </w:rPr>
      </w:pPr>
      <w:r>
        <w:rPr>
          <w:rFonts w:cs="Times New Roman"/>
          <w:sz w:val="24"/>
        </w:rPr>
      </w:r>
    </w:p>
    <w:p>
      <w:pPr>
        <w:pStyle w:val="Normal"/>
        <w:rPr>
          <w:sz w:val="24"/>
        </w:rPr>
      </w:pPr>
      <w:r>
        <w:rPr>
          <w:sz w:val="24"/>
        </w:rPr>
        <w:t>2.  If you are absent for 5 consecutive workdays, you must obtain and present to your human resources representative a doctor’s certification indicating the estimated date on which you will be able to return to work.</w:t>
      </w:r>
    </w:p>
    <w:p>
      <w:pPr>
        <w:pStyle w:val="Normal"/>
        <w:rPr>
          <w:sz w:val="24"/>
        </w:rPr>
      </w:pPr>
      <w:r>
        <w:rPr>
          <w:sz w:val="24"/>
        </w:rPr>
      </w:r>
    </w:p>
    <w:p>
      <w:pPr>
        <w:pStyle w:val="Normal"/>
        <w:rPr>
          <w:sz w:val="24"/>
        </w:rPr>
      </w:pPr>
      <w:r>
        <w:rPr>
          <w:sz w:val="24"/>
        </w:rPr>
        <w:t xml:space="preserve">3.  Sick leave is not to be taken for personal days off, to attend to errands or other activities, or to care for a relative, friend, or the like. </w:t>
      </w:r>
    </w:p>
    <w:p>
      <w:pPr>
        <w:pStyle w:val="Normal"/>
        <w:rPr>
          <w:sz w:val="24"/>
        </w:rPr>
      </w:pPr>
      <w:r>
        <w:rPr>
          <w:sz w:val="24"/>
        </w:rPr>
      </w:r>
    </w:p>
    <w:p>
      <w:pPr>
        <w:pStyle w:val="Normal"/>
        <w:rPr>
          <w:sz w:val="24"/>
        </w:rPr>
      </w:pPr>
      <w:r>
        <w:rPr>
          <w:sz w:val="24"/>
        </w:rPr>
        <w:t>4.  Absences that are not for legitimate sick leave reasons will be classified as unexcused and can result in discipline, up to and including termination.</w:t>
      </w:r>
    </w:p>
    <w:p>
      <w:pPr>
        <w:pStyle w:val="Normal"/>
        <w:rPr>
          <w:sz w:val="24"/>
        </w:rPr>
      </w:pPr>
      <w:r>
        <w:rPr>
          <w:sz w:val="24"/>
        </w:rPr>
      </w:r>
    </w:p>
    <w:sectPr>
      <w:headerReference w:type="default" r:id="rId2"/>
      <w:headerReference w:type="first" r:id="rId3"/>
      <w:footerReference w:type="default" r:id="rId4"/>
      <w:footerReference w:type="first" r:id="rId5"/>
      <w:type w:val="nextPage"/>
      <w:pgSz w:w="12240" w:h="15840"/>
      <w:pgMar w:left="1152" w:right="1152" w:gutter="0" w:header="720" w:top="1152" w:footer="720" w:bottom="1152"/>
      <w:pgNumType w:start="1" w:fmt="decimal"/>
      <w:formProt w:val="false"/>
      <w:titlePg/>
      <w:textDirection w:val="lrTb"/>
      <w:docGrid w:type="default" w:linePitch="272"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Arial Black">
    <w:charset w:val="00" w:characterSet="windows-1252"/>
    <w:family w:val="swiss"/>
    <w:pitch w:val="variable"/>
  </w:font>
  <w:font w:name="Courier New">
    <w:charset w:val="00" w:characterSet="windows-1252"/>
    <w:family w:val="modern"/>
    <w:pitch w:val="default"/>
  </w:font>
  <w:font w:name="Wingdings">
    <w:charset w:val="02"/>
    <w:family w:val="auto"/>
    <w:pitch w:val="variable"/>
  </w:font>
  <w:font w:name="Verdana">
    <w:charset w:val="00" w:characterSet="windows-1252"/>
    <w:family w:val="swiss"/>
    <w:pitch w:val="variable"/>
  </w:font>
  <w:font w:name="Garamond">
    <w:charset w:val="00" w:characterSet="windows-1252"/>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tabs>
        <w:tab w:val="clear" w:pos="8640"/>
        <w:tab w:val="center" w:pos="4320" w:leader="none"/>
        <w:tab w:val="right" w:pos="9300" w:leader="none"/>
      </w:tabs>
      <w:jc w:val="both"/>
      <w:rPr/>
    </w:pPr>
    <w:r>
      <w:rPr/>
      <w:tab/>
      <w:tab/>
    </w:r>
    <w:r>
      <mc:AlternateContent>
        <mc:Choice Requires="wps">
          <w:drawing>
            <wp:anchor behindDoc="0" distT="0" distB="0" distL="0" distR="0" simplePos="0" locked="0" layoutInCell="1" allowOverlap="1" relativeHeight="0">
              <wp:simplePos x="0" y="0"/>
              <wp:positionH relativeFrom="margin">
                <wp:align>right</wp:align>
              </wp:positionH>
              <wp:positionV relativeFrom="paragraph">
                <wp:posOffset>635</wp:posOffset>
              </wp:positionV>
              <wp:extent cx="6309360" cy="20955"/>
              <wp:effectExtent l="0" t="0" r="0" b="0"/>
              <wp:wrapSquare wrapText="bothSides"/>
              <wp:docPr id="1" name="Frame2"/>
              <a:graphic xmlns:a="http://schemas.openxmlformats.org/drawingml/2006/main">
                <a:graphicData uri="http://schemas.microsoft.com/office/word/2010/wordprocessingShape">
                  <wps:wsp>
                    <wps:cNvSpPr txBox="1"/>
                    <wps:spPr>
                      <a:xfrm>
                        <a:off x="0" y="0"/>
                        <a:ext cx="6309360" cy="20955"/>
                      </a:xfrm>
                      <a:prstGeom prst="rect"/>
                      <a:solidFill>
                        <a:srgbClr val="FFFFFF">
                          <a:alpha val="0"/>
                        </a:srgbClr>
                      </a:solidFill>
                    </wps:spPr>
                    <wps:txbx>
                      <w:txbxContent>
                        <w:p>
                          <w:pPr>
                            <w:pStyle w:val="Footer"/>
                            <w:tabs>
                              <w:tab w:val="clear" w:pos="8640"/>
                              <w:tab w:val="center" w:pos="4320" w:leader="none"/>
                              <w:tab w:val="right" w:pos="9300" w:leader="none"/>
                            </w:tabs>
                            <w:rPr>
                              <w:rStyle w:val="PageNumber"/>
                            </w:rPr>
                          </w:pPr>
                          <w:r>
                            <w:rPr>
                              <w:rStyle w:val="PageNumber"/>
                            </w:rPr>
                            <w:tab/>
                            <w:tab/>
                          </w:r>
                          <w:r>
                            <w:rPr>
                              <w:rStyle w:val="PageNumber"/>
                            </w:rPr>
                            <w:fldChar w:fldCharType="begin"/>
                          </w:r>
                          <w:r>
                            <w:rPr>
                              <w:rStyle w:val="PageNumber"/>
                            </w:rPr>
                            <w:instrText xml:space="preserve"> PAGE </w:instrText>
                          </w:r>
                          <w:r>
                            <w:rPr>
                              <w:rStyle w:val="PageNumber"/>
                            </w:rPr>
                            <w:fldChar w:fldCharType="separate"/>
                          </w:r>
                          <w:r>
                            <w:rPr>
                              <w:rStyle w:val="PageNumber"/>
                            </w:rPr>
                            <w:t>0</w:t>
                          </w:r>
                          <w:r>
                            <w:rPr>
                              <w:rStyle w:val="PageNumber"/>
                            </w:rPr>
                            <w:fldChar w:fldCharType="end"/>
                          </w:r>
                        </w:p>
                        <w:p>
                          <w:pPr>
                            <w:pStyle w:val="Footer"/>
                            <w:ind w:end="360"/>
                            <w:rPr>
                              <w:rStyle w:val="PageNumber"/>
                            </w:rPr>
                          </w:pPr>
                          <w:r>
                            <w:rPr/>
                          </w:r>
                        </w:p>
                      </w:txbxContent>
                    </wps:txbx>
                    <wps:bodyPr anchor="t" lIns="0" tIns="0" rIns="0" bIns="0">
                      <a:noAutofit/>
                    </wps:bodyPr>
                  </wps:wsp>
                </a:graphicData>
              </a:graphic>
            </wp:anchor>
          </w:drawing>
        </mc:Choice>
        <mc:Fallback>
          <w:pict>
            <v:rect fillcolor="#FFFFFF" style="position:absolute;rotation:-0;width:496.8pt;height:1.65pt;mso-wrap-distance-left:0pt;mso-wrap-distance-right:0pt;mso-wrap-distance-top:0pt;mso-wrap-distance-bottom:0pt;margin-top:0.05pt;mso-position-vertical-relative:text;margin-left:0pt;mso-position-horizontal:right;mso-position-horizontal-relative:margin">
              <v:fill opacity="0f"/>
              <v:textbox inset="0in,0in,0in,0in">
                <w:txbxContent>
                  <w:p>
                    <w:pPr>
                      <w:pStyle w:val="Footer"/>
                      <w:tabs>
                        <w:tab w:val="clear" w:pos="8640"/>
                        <w:tab w:val="center" w:pos="4320" w:leader="none"/>
                        <w:tab w:val="right" w:pos="9300" w:leader="none"/>
                      </w:tabs>
                      <w:rPr>
                        <w:rStyle w:val="PageNumber"/>
                      </w:rPr>
                    </w:pPr>
                    <w:r>
                      <w:rPr>
                        <w:rStyle w:val="PageNumber"/>
                      </w:rPr>
                      <w:tab/>
                      <w:tab/>
                    </w:r>
                    <w:r>
                      <w:rPr>
                        <w:rStyle w:val="PageNumber"/>
                      </w:rPr>
                      <w:fldChar w:fldCharType="begin"/>
                    </w:r>
                    <w:r>
                      <w:rPr>
                        <w:rStyle w:val="PageNumber"/>
                      </w:rPr>
                      <w:instrText xml:space="preserve"> PAGE </w:instrText>
                    </w:r>
                    <w:r>
                      <w:rPr>
                        <w:rStyle w:val="PageNumber"/>
                      </w:rPr>
                      <w:fldChar w:fldCharType="separate"/>
                    </w:r>
                    <w:r>
                      <w:rPr>
                        <w:rStyle w:val="PageNumber"/>
                      </w:rPr>
                      <w:t>0</w:t>
                    </w:r>
                    <w:r>
                      <w:rPr>
                        <w:rStyle w:val="PageNumber"/>
                      </w:rPr>
                      <w:fldChar w:fldCharType="end"/>
                    </w:r>
                  </w:p>
                  <w:p>
                    <w:pPr>
                      <w:pStyle w:val="Footer"/>
                      <w:ind w:end="360"/>
                      <w:rPr>
                        <w:rStyle w:val="PageNumber"/>
                      </w:rPr>
                    </w:pPr>
                    <w:r>
                      <w:rPr/>
                    </w:r>
                  </w:p>
                </w:txbxContent>
              </v:textbox>
              <w10:wrap type="square"/>
            </v:rect>
          </w:pict>
        </mc:Fallback>
      </mc:AlternateContent>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ind w:end="60"/>
      <w:jc w:val="end"/>
      <w:rPr/>
    </w:pPr>
    <w:r>
      <w:rPr>
        <w:rStyle w:val="PageNumber"/>
        <w:sz w:val="24"/>
      </w:rPr>
      <w:fldChar w:fldCharType="begin"/>
    </w:r>
    <w:r>
      <w:rPr>
        <w:rStyle w:val="PageNumber"/>
        <w:sz w:val="24"/>
      </w:rPr>
      <w:instrText xml:space="preserve"> PAGE </w:instrText>
    </w:r>
    <w:r>
      <w:rPr>
        <w:rStyle w:val="PageNumber"/>
        <w:sz w:val="24"/>
      </w:rPr>
      <w:fldChar w:fldCharType="separate"/>
    </w:r>
    <w:r>
      <w:rPr>
        <w:rStyle w:val="PageNumber"/>
        <w:sz w:val="24"/>
      </w:rPr>
      <w:t>1</w:t>
    </w:r>
    <w:r>
      <w:rPr>
        <w:rStyle w:val="PageNumber"/>
        <w:sz w:val="24"/>
      </w:rPr>
      <w:fldChar w:fldCharType="end"/>
    </w:r>
    <w:r>
      <mc:AlternateContent>
        <mc:Choice Requires="wps">
          <w:drawing>
            <wp:anchor behindDoc="0" distT="0" distB="0" distL="0" distR="0" simplePos="0" locked="0" layoutInCell="0" allowOverlap="1" relativeHeight="2">
              <wp:simplePos x="0" y="0"/>
              <wp:positionH relativeFrom="margin">
                <wp:align>right</wp:align>
              </wp:positionH>
              <wp:positionV relativeFrom="paragraph">
                <wp:posOffset>635</wp:posOffset>
              </wp:positionV>
              <wp:extent cx="14605" cy="175260"/>
              <wp:effectExtent l="0" t="0" r="0" b="0"/>
              <wp:wrapSquare wrapText="bothSides"/>
              <wp:docPr id="2" name="Frame1"/>
              <a:graphic xmlns:a="http://schemas.openxmlformats.org/drawingml/2006/main">
                <a:graphicData uri="http://schemas.microsoft.com/office/word/2010/wordprocessingShape">
                  <wps:wsp>
                    <wps:cNvSpPr txBox="1"/>
                    <wps:spPr>
                      <a:xfrm>
                        <a:off x="0" y="0"/>
                        <a:ext cx="14605" cy="175260"/>
                      </a:xfrm>
                      <a:prstGeom prst="rect"/>
                      <a:solidFill>
                        <a:srgbClr val="FFFFFF">
                          <a:alpha val="0"/>
                        </a:srgbClr>
                      </a:solidFill>
                    </wps:spPr>
                    <wps:txbx>
                      <w:txbxContent>
                        <w:p>
                          <w:pPr>
                            <w:pStyle w:val="Footer"/>
                            <w:tabs>
                              <w:tab w:val="clear" w:pos="8640"/>
                              <w:tab w:val="center" w:pos="4320" w:leader="none"/>
                              <w:tab w:val="right" w:pos="9300" w:leader="none"/>
                            </w:tabs>
                            <w:rPr>
                              <w:rStyle w:val="PageNumber"/>
                              <w:sz w:val="24"/>
                            </w:rPr>
                          </w:pPr>
                          <w:r>
                            <w:rPr/>
                          </w:r>
                        </w:p>
                      </w:txbxContent>
                    </wps:txbx>
                    <wps:bodyPr anchor="t" lIns="0" tIns="0" rIns="0" bIns="0">
                      <a:noAutofit/>
                    </wps:bodyPr>
                  </wps:wsp>
                </a:graphicData>
              </a:graphic>
            </wp:anchor>
          </w:drawing>
        </mc:Choice>
        <mc:Fallback>
          <w:pict>
            <v:rect fillcolor="#FFFFFF" style="position:absolute;rotation:-0;width:1.15pt;height:13.8pt;mso-wrap-distance-left:0pt;mso-wrap-distance-right:0pt;mso-wrap-distance-top:0pt;mso-wrap-distance-bottom:0pt;margin-top:0.05pt;mso-position-vertical-relative:text;margin-left:495.65pt;mso-position-horizontal:right;mso-position-horizontal-relative:margin">
              <v:fill opacity="0f"/>
              <v:textbox inset="0in,0in,0in,0in">
                <w:txbxContent>
                  <w:p>
                    <w:pPr>
                      <w:pStyle w:val="Footer"/>
                      <w:tabs>
                        <w:tab w:val="clear" w:pos="8640"/>
                        <w:tab w:val="center" w:pos="4320" w:leader="none"/>
                        <w:tab w:val="right" w:pos="9300" w:leader="none"/>
                      </w:tabs>
                      <w:rPr>
                        <w:rStyle w:val="PageNumber"/>
                        <w:sz w:val="24"/>
                      </w:rPr>
                    </w:pPr>
                    <w:r>
                      <w:rPr/>
                    </w:r>
                  </w:p>
                </w:txbxContent>
              </v:textbox>
              <w10:wrap type="square"/>
            </v:rect>
          </w:pict>
        </mc:Fallback>
      </mc:AlternateContent>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tabs>
        <w:tab w:val="clear" w:pos="8640"/>
        <w:tab w:val="center" w:pos="4320" w:leader="none"/>
        <w:tab w:val="right" w:pos="9400" w:leader="none"/>
      </w:tabs>
      <w:rPr/>
    </w:pPr>
    <w:r>
      <w:rPr>
        <w:rFonts w:cs="Arial" w:ascii="Arial" w:hAnsi="Arial"/>
        <w:i/>
        <w:u w:val="single"/>
      </w:rPr>
      <w:t>Project N-Form:  Proposed Narratives</w:t>
      <w:tab/>
      <w:t xml:space="preserve">                 </w:t>
      <w:tab/>
      <w:t xml:space="preserve">                Enron Corporation</w:t>
    </w:r>
    <w:r>
      <w:rPr/>
      <w:tab/>
      <w:tab/>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pStyle w:val="Heading6"/>
      <w:numFmt w:val="none"/>
      <w:suff w:val="nothing"/>
      <w:lvlText w:val=""/>
      <w:lvlJc w:val="start"/>
      <w:pPr>
        <w:tabs>
          <w:tab w:val="num" w:pos="0"/>
        </w:tabs>
        <w:ind w:start="0" w:hanging="0"/>
      </w:pPr>
    </w:lvl>
    <w:lvl w:ilvl="6">
      <w:start w:val="1"/>
      <w:pStyle w:val="Heading7"/>
      <w:numFmt w:val="none"/>
      <w:suff w:val="nothing"/>
      <w:lvlText w:val=""/>
      <w:lvlJc w:val="start"/>
      <w:pPr>
        <w:tabs>
          <w:tab w:val="num" w:pos="0"/>
        </w:tabs>
        <w:ind w:start="0" w:hanging="0"/>
      </w:pPr>
    </w:lvl>
    <w:lvl w:ilvl="7">
      <w:start w:val="1"/>
      <w:pStyle w:val="Heading8"/>
      <w:numFmt w:val="none"/>
      <w:suff w:val="nothing"/>
      <w:lvlText w:val=""/>
      <w:lvlJc w:val="start"/>
      <w:pPr>
        <w:tabs>
          <w:tab w:val="num" w:pos="0"/>
        </w:tabs>
        <w:ind w:start="0" w:hanging="0"/>
      </w:pPr>
    </w:lvl>
    <w:lvl w:ilvl="8">
      <w:start w:val="1"/>
      <w:pStyle w:val="Heading9"/>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bidi="ar-SA" w:eastAsia="zh-CN"/>
    </w:rPr>
  </w:style>
  <w:style w:type="paragraph" w:styleId="Heading1">
    <w:name w:val="heading 1"/>
    <w:basedOn w:val="Normal"/>
    <w:next w:val="Normal"/>
    <w:qFormat/>
    <w:pPr>
      <w:keepNext w:val="true"/>
      <w:numPr>
        <w:ilvl w:val="0"/>
        <w:numId w:val="1"/>
      </w:numPr>
      <w:outlineLvl w:val="0"/>
    </w:pPr>
    <w:rPr>
      <w:rFonts w:ascii="Arial Black" w:hAnsi="Arial Black" w:cs="Arial Black"/>
      <w:sz w:val="24"/>
      <w:u w:val="single"/>
    </w:rPr>
  </w:style>
  <w:style w:type="paragraph" w:styleId="Heading2">
    <w:name w:val="heading 2"/>
    <w:basedOn w:val="Normal"/>
    <w:next w:val="Normal"/>
    <w:qFormat/>
    <w:pPr>
      <w:keepNext w:val="true"/>
      <w:numPr>
        <w:ilvl w:val="1"/>
        <w:numId w:val="1"/>
      </w:numPr>
      <w:outlineLvl w:val="1"/>
    </w:pPr>
    <w:rPr>
      <w:rFonts w:ascii="Arial" w:hAnsi="Arial" w:cs="Arial"/>
      <w:sz w:val="24"/>
    </w:rPr>
  </w:style>
  <w:style w:type="paragraph" w:styleId="Heading3">
    <w:name w:val="heading 3"/>
    <w:basedOn w:val="Normal"/>
    <w:next w:val="Normal"/>
    <w:qFormat/>
    <w:pPr>
      <w:keepNext w:val="true"/>
      <w:numPr>
        <w:ilvl w:val="2"/>
        <w:numId w:val="1"/>
      </w:numPr>
      <w:outlineLvl w:val="2"/>
    </w:pPr>
    <w:rPr>
      <w:rFonts w:ascii="Arial Black" w:hAnsi="Arial Black" w:cs="Arial Black"/>
      <w:sz w:val="22"/>
      <w:u w:val="single"/>
    </w:rPr>
  </w:style>
  <w:style w:type="paragraph" w:styleId="Heading4">
    <w:name w:val="heading 4"/>
    <w:basedOn w:val="Normal"/>
    <w:next w:val="Normal"/>
    <w:qFormat/>
    <w:pPr>
      <w:keepNext w:val="true"/>
      <w:numPr>
        <w:ilvl w:val="3"/>
        <w:numId w:val="1"/>
      </w:numPr>
      <w:outlineLvl w:val="3"/>
    </w:pPr>
    <w:rPr>
      <w:rFonts w:ascii="Arial" w:hAnsi="Arial" w:cs="Arial"/>
      <w:b/>
      <w:sz w:val="22"/>
    </w:rPr>
  </w:style>
  <w:style w:type="paragraph" w:styleId="Heading5">
    <w:name w:val="heading 5"/>
    <w:basedOn w:val="Normal"/>
    <w:next w:val="Normal"/>
    <w:qFormat/>
    <w:pPr>
      <w:keepNext w:val="true"/>
      <w:numPr>
        <w:ilvl w:val="4"/>
        <w:numId w:val="1"/>
      </w:numPr>
      <w:jc w:val="center"/>
      <w:outlineLvl w:val="4"/>
    </w:pPr>
    <w:rPr>
      <w:b/>
      <w:bCs/>
    </w:rPr>
  </w:style>
  <w:style w:type="paragraph" w:styleId="Heading6">
    <w:name w:val="heading 6"/>
    <w:basedOn w:val="Normal"/>
    <w:next w:val="Normal"/>
    <w:qFormat/>
    <w:pPr>
      <w:keepNext w:val="true"/>
      <w:numPr>
        <w:ilvl w:val="5"/>
        <w:numId w:val="1"/>
      </w:numPr>
      <w:outlineLvl w:val="5"/>
    </w:pPr>
    <w:rPr>
      <w:b/>
      <w:bCs/>
    </w:rPr>
  </w:style>
  <w:style w:type="paragraph" w:styleId="Heading7">
    <w:name w:val="heading 7"/>
    <w:basedOn w:val="Normal"/>
    <w:next w:val="Normal"/>
    <w:qFormat/>
    <w:pPr>
      <w:keepNext w:val="true"/>
      <w:numPr>
        <w:ilvl w:val="6"/>
        <w:numId w:val="1"/>
      </w:numPr>
      <w:outlineLvl w:val="6"/>
    </w:pPr>
    <w:rPr>
      <w:rFonts w:ascii="Arial Black" w:hAnsi="Arial Black" w:cs="Arial Black"/>
      <w:sz w:val="28"/>
    </w:rPr>
  </w:style>
  <w:style w:type="paragraph" w:styleId="Heading8">
    <w:name w:val="heading 8"/>
    <w:basedOn w:val="Normal"/>
    <w:next w:val="Normal"/>
    <w:qFormat/>
    <w:pPr>
      <w:keepNext w:val="true"/>
      <w:numPr>
        <w:ilvl w:val="7"/>
        <w:numId w:val="1"/>
      </w:numPr>
      <w:outlineLvl w:val="7"/>
    </w:pPr>
    <w:rPr>
      <w:rFonts w:ascii="Arial" w:hAnsi="Arial" w:cs="Arial"/>
      <w:sz w:val="24"/>
    </w:rPr>
  </w:style>
  <w:style w:type="paragraph" w:styleId="Heading9">
    <w:name w:val="heading 9"/>
    <w:basedOn w:val="Normal"/>
    <w:next w:val="Normal"/>
    <w:qFormat/>
    <w:pPr>
      <w:keepNext w:val="true"/>
      <w:numPr>
        <w:ilvl w:val="8"/>
        <w:numId w:val="1"/>
      </w:numPr>
      <w:outlineLvl w:val="8"/>
    </w:pPr>
    <w:rPr>
      <w:rFonts w:ascii="Arial" w:hAnsi="Arial" w:cs="Arial"/>
      <w:b/>
      <w:sz w:val="28"/>
    </w:rPr>
  </w:style>
  <w:style w:type="character" w:styleId="WW8Num1z0">
    <w:name w:val="WW8Num1z0"/>
    <w:qFormat/>
    <w:rPr>
      <w:rFonts w:ascii="Symbol" w:hAnsi="Symbol" w:cs="Symbol"/>
    </w:rPr>
  </w:style>
  <w:style w:type="character" w:styleId="WW8Num2z0">
    <w:name w:val="WW8Num2z0"/>
    <w:qFormat/>
    <w:rPr>
      <w:rFonts w:ascii="Symbol" w:hAnsi="Symbol" w:cs="Symbol"/>
    </w:rPr>
  </w:style>
  <w:style w:type="character" w:styleId="WW8Num3z0">
    <w:name w:val="WW8Num3z0"/>
    <w:qFormat/>
    <w:rPr>
      <w:rFonts w:ascii="Courier New" w:hAnsi="Courier New" w:cs="Courier New"/>
    </w:rPr>
  </w:style>
  <w:style w:type="character" w:styleId="WW8Num3z2">
    <w:name w:val="WW8Num3z2"/>
    <w:qFormat/>
    <w:rPr>
      <w:rFonts w:ascii="Wingdings" w:hAnsi="Wingdings" w:cs="Wingdings"/>
    </w:rPr>
  </w:style>
  <w:style w:type="character" w:styleId="WW8Num3z3">
    <w:name w:val="WW8Num3z3"/>
    <w:qFormat/>
    <w:rPr>
      <w:rFonts w:ascii="Symbol" w:hAnsi="Symbol" w:cs="Symbol"/>
    </w:rPr>
  </w:style>
  <w:style w:type="character" w:styleId="WW8Num4z0">
    <w:name w:val="WW8Num4z0"/>
    <w:qFormat/>
    <w:rPr>
      <w:rFonts w:ascii="Symbol" w:hAnsi="Symbol" w:cs="Symbol"/>
    </w:rPr>
  </w:style>
  <w:style w:type="character" w:styleId="WW8Num5z0">
    <w:name w:val="WW8Num5z0"/>
    <w:qFormat/>
    <w:rPr>
      <w:rFonts w:ascii="Symbol" w:hAnsi="Symbol" w:cs="Symbol"/>
    </w:rPr>
  </w:style>
  <w:style w:type="character" w:styleId="WW8Num6z0">
    <w:name w:val="WW8Num6z0"/>
    <w:qFormat/>
    <w:rPr>
      <w:rFonts w:ascii="Symbol" w:hAnsi="Symbol" w:cs="Symbol"/>
    </w:rPr>
  </w:style>
  <w:style w:type="character" w:styleId="WW8Num8z0">
    <w:name w:val="WW8Num8z0"/>
    <w:qFormat/>
    <w:rPr>
      <w:rFonts w:ascii="Symbol" w:hAnsi="Symbol" w:cs="Symbol"/>
    </w:rPr>
  </w:style>
  <w:style w:type="character" w:styleId="WW8Num9z0">
    <w:name w:val="WW8Num9z0"/>
    <w:qFormat/>
    <w:rPr>
      <w:rFonts w:ascii="Symbol" w:hAnsi="Symbol" w:cs="Symbol"/>
    </w:rPr>
  </w:style>
  <w:style w:type="character" w:styleId="WW8Num10z0">
    <w:name w:val="WW8Num10z0"/>
    <w:qFormat/>
    <w:rPr>
      <w:rFonts w:ascii="Symbol" w:hAnsi="Symbol" w:cs="Symbol"/>
    </w:rPr>
  </w:style>
  <w:style w:type="character" w:styleId="WW8Num10z1">
    <w:name w:val="WW8Num10z1"/>
    <w:qFormat/>
    <w:rPr>
      <w:rFonts w:ascii="Courier New" w:hAnsi="Courier New" w:cs="Courier New"/>
    </w:rPr>
  </w:style>
  <w:style w:type="character" w:styleId="WW8Num10z2">
    <w:name w:val="WW8Num10z2"/>
    <w:qFormat/>
    <w:rPr>
      <w:rFonts w:ascii="Wingdings" w:hAnsi="Wingdings" w:cs="Wingdings"/>
    </w:rPr>
  </w:style>
  <w:style w:type="character" w:styleId="WW8Num11z0">
    <w:name w:val="WW8Num11z0"/>
    <w:qFormat/>
    <w:rPr>
      <w:rFonts w:ascii="Symbol" w:hAnsi="Symbol" w:cs="Symbol"/>
    </w:rPr>
  </w:style>
  <w:style w:type="character" w:styleId="WW8Num13z0">
    <w:name w:val="WW8Num13z0"/>
    <w:qFormat/>
    <w:rPr>
      <w:rFonts w:ascii="Symbol" w:hAnsi="Symbol" w:cs="Symbol"/>
    </w:rPr>
  </w:style>
  <w:style w:type="character" w:styleId="WW8Num14z0">
    <w:name w:val="WW8Num14z0"/>
    <w:qFormat/>
    <w:rPr>
      <w:rFonts w:ascii="Symbol" w:hAnsi="Symbol" w:cs="Symbol"/>
    </w:rPr>
  </w:style>
  <w:style w:type="character" w:styleId="WW8Num14z1">
    <w:name w:val="WW8Num14z1"/>
    <w:qFormat/>
    <w:rPr>
      <w:rFonts w:ascii="Courier New" w:hAnsi="Courier New" w:cs="Courier New"/>
    </w:rPr>
  </w:style>
  <w:style w:type="character" w:styleId="WW8Num14z2">
    <w:name w:val="WW8Num14z2"/>
    <w:qFormat/>
    <w:rPr>
      <w:rFonts w:ascii="Wingdings" w:hAnsi="Wingdings" w:cs="Wingdings"/>
    </w:rPr>
  </w:style>
  <w:style w:type="character" w:styleId="WW8Num15z0">
    <w:name w:val="WW8Num15z0"/>
    <w:qFormat/>
    <w:rPr/>
  </w:style>
  <w:style w:type="character" w:styleId="WW8Num16z0">
    <w:name w:val="WW8Num16z0"/>
    <w:qFormat/>
    <w:rPr>
      <w:rFonts w:ascii="Symbol" w:hAnsi="Symbol" w:cs="Symbol"/>
    </w:rPr>
  </w:style>
  <w:style w:type="character" w:styleId="WW8Num16z1">
    <w:name w:val="WW8Num16z1"/>
    <w:qFormat/>
    <w:rPr>
      <w:rFonts w:ascii="Courier New" w:hAnsi="Courier New" w:cs="Courier New"/>
    </w:rPr>
  </w:style>
  <w:style w:type="character" w:styleId="WW8Num16z2">
    <w:name w:val="WW8Num16z2"/>
    <w:qFormat/>
    <w:rPr>
      <w:rFonts w:ascii="Wingdings" w:hAnsi="Wingdings" w:cs="Wingdings"/>
    </w:rPr>
  </w:style>
  <w:style w:type="character" w:styleId="WW8Num17z0">
    <w:name w:val="WW8Num17z0"/>
    <w:qFormat/>
    <w:rPr>
      <w:rFonts w:ascii="Symbol" w:hAnsi="Symbol" w:cs="Symbol"/>
    </w:rPr>
  </w:style>
  <w:style w:type="character" w:styleId="WW8Num18z0">
    <w:name w:val="WW8Num18z0"/>
    <w:qFormat/>
    <w:rPr>
      <w:rFonts w:ascii="Symbol" w:hAnsi="Symbol" w:cs="Symbol"/>
    </w:rPr>
  </w:style>
  <w:style w:type="character" w:styleId="WW8Num19z0">
    <w:name w:val="WW8Num19z0"/>
    <w:qFormat/>
    <w:rPr>
      <w:rFonts w:ascii="Symbol" w:hAnsi="Symbol" w:cs="Symbol"/>
    </w:rPr>
  </w:style>
  <w:style w:type="character" w:styleId="WW8Num20z0">
    <w:name w:val="WW8Num20z0"/>
    <w:qFormat/>
    <w:rPr>
      <w:rFonts w:ascii="Wingdings" w:hAnsi="Wingdings" w:cs="Wingdings"/>
    </w:rPr>
  </w:style>
  <w:style w:type="character" w:styleId="WW8Num20z1">
    <w:name w:val="WW8Num20z1"/>
    <w:qFormat/>
    <w:rPr>
      <w:rFonts w:ascii="Courier New" w:hAnsi="Courier New" w:cs="Courier New"/>
    </w:rPr>
  </w:style>
  <w:style w:type="character" w:styleId="WW8Num20z3">
    <w:name w:val="WW8Num20z3"/>
    <w:qFormat/>
    <w:rPr>
      <w:rFonts w:ascii="Symbol" w:hAnsi="Symbol" w:cs="Symbol"/>
    </w:rPr>
  </w:style>
  <w:style w:type="character" w:styleId="WW8Num21z0">
    <w:name w:val="WW8Num21z0"/>
    <w:qFormat/>
    <w:rPr>
      <w:rFonts w:ascii="Symbol" w:hAnsi="Symbol" w:cs="Symbol"/>
    </w:rPr>
  </w:style>
  <w:style w:type="character" w:styleId="WW8Num22z0">
    <w:name w:val="WW8Num22z0"/>
    <w:qFormat/>
    <w:rPr>
      <w:rFonts w:ascii="Symbol" w:hAnsi="Symbol" w:cs="Symbol"/>
    </w:rPr>
  </w:style>
  <w:style w:type="character" w:styleId="WW8Num22z1">
    <w:name w:val="WW8Num22z1"/>
    <w:qFormat/>
    <w:rPr>
      <w:rFonts w:ascii="Courier New" w:hAnsi="Courier New" w:cs="Courier New"/>
    </w:rPr>
  </w:style>
  <w:style w:type="character" w:styleId="WW8Num22z2">
    <w:name w:val="WW8Num22z2"/>
    <w:qFormat/>
    <w:rPr>
      <w:rFonts w:ascii="Wingdings" w:hAnsi="Wingdings" w:cs="Wingdings"/>
    </w:rPr>
  </w:style>
  <w:style w:type="character" w:styleId="WW8Num23z0">
    <w:name w:val="WW8Num23z0"/>
    <w:qFormat/>
    <w:rPr>
      <w:rFonts w:ascii="Symbol" w:hAnsi="Symbol" w:cs="Symbol"/>
    </w:rPr>
  </w:style>
  <w:style w:type="character" w:styleId="WW8Num24z0">
    <w:name w:val="WW8Num24z0"/>
    <w:qFormat/>
    <w:rPr>
      <w:rFonts w:ascii="Symbol" w:hAnsi="Symbol" w:cs="Symbol"/>
    </w:rPr>
  </w:style>
  <w:style w:type="character" w:styleId="WW8Num25z0">
    <w:name w:val="WW8Num25z0"/>
    <w:qFormat/>
    <w:rPr>
      <w:rFonts w:ascii="Symbol" w:hAnsi="Symbol" w:cs="Symbol"/>
    </w:rPr>
  </w:style>
  <w:style w:type="character" w:styleId="WW8Num26z0">
    <w:name w:val="WW8Num26z0"/>
    <w:qFormat/>
    <w:rPr>
      <w:rFonts w:ascii="Symbol" w:hAnsi="Symbol" w:cs="Symbol"/>
    </w:rPr>
  </w:style>
  <w:style w:type="character" w:styleId="WW8Num26z1">
    <w:name w:val="WW8Num26z1"/>
    <w:qFormat/>
    <w:rPr>
      <w:rFonts w:ascii="Wingdings" w:hAnsi="Wingdings" w:cs="Wingdings"/>
    </w:rPr>
  </w:style>
  <w:style w:type="character" w:styleId="WW8Num26z4">
    <w:name w:val="WW8Num26z4"/>
    <w:qFormat/>
    <w:rPr>
      <w:rFonts w:ascii="Courier New" w:hAnsi="Courier New" w:cs="Courier New"/>
    </w:rPr>
  </w:style>
  <w:style w:type="character" w:styleId="WW8Num28z0">
    <w:name w:val="WW8Num28z0"/>
    <w:qFormat/>
    <w:rPr>
      <w:rFonts w:ascii="Courier New" w:hAnsi="Courier New" w:cs="Courier New"/>
    </w:rPr>
  </w:style>
  <w:style w:type="character" w:styleId="WW8Num28z2">
    <w:name w:val="WW8Num28z2"/>
    <w:qFormat/>
    <w:rPr>
      <w:rFonts w:ascii="Wingdings" w:hAnsi="Wingdings" w:cs="Wingdings"/>
    </w:rPr>
  </w:style>
  <w:style w:type="character" w:styleId="WW8Num28z3">
    <w:name w:val="WW8Num28z3"/>
    <w:qFormat/>
    <w:rPr>
      <w:rFonts w:ascii="Symbol" w:hAnsi="Symbol" w:cs="Symbol"/>
    </w:rPr>
  </w:style>
  <w:style w:type="character" w:styleId="WW8Num30z0">
    <w:name w:val="WW8Num30z0"/>
    <w:qFormat/>
    <w:rPr>
      <w:rFonts w:ascii="Courier New" w:hAnsi="Courier New" w:cs="Courier New"/>
    </w:rPr>
  </w:style>
  <w:style w:type="character" w:styleId="WW8Num30z2">
    <w:name w:val="WW8Num30z2"/>
    <w:qFormat/>
    <w:rPr>
      <w:rFonts w:ascii="Wingdings" w:hAnsi="Wingdings" w:cs="Wingdings"/>
    </w:rPr>
  </w:style>
  <w:style w:type="character" w:styleId="WW8Num30z3">
    <w:name w:val="WW8Num30z3"/>
    <w:qFormat/>
    <w:rPr>
      <w:rFonts w:ascii="Symbol" w:hAnsi="Symbol" w:cs="Symbol"/>
    </w:rPr>
  </w:style>
  <w:style w:type="character" w:styleId="WW8Num31z0">
    <w:name w:val="WW8Num31z0"/>
    <w:qFormat/>
    <w:rPr>
      <w:rFonts w:ascii="Symbol" w:hAnsi="Symbol" w:cs="Symbol"/>
    </w:rPr>
  </w:style>
  <w:style w:type="character" w:styleId="WW8Num32z0">
    <w:name w:val="WW8Num32z0"/>
    <w:qFormat/>
    <w:rPr>
      <w:rFonts w:ascii="Symbol" w:hAnsi="Symbol" w:cs="Symbol"/>
    </w:rPr>
  </w:style>
  <w:style w:type="character" w:styleId="WW8Num33z0">
    <w:name w:val="WW8Num33z0"/>
    <w:qFormat/>
    <w:rPr>
      <w:rFonts w:ascii="Symbol" w:hAnsi="Symbol" w:cs="Symbol"/>
    </w:rPr>
  </w:style>
  <w:style w:type="character" w:styleId="WW8Num34z0">
    <w:name w:val="WW8Num34z0"/>
    <w:qFormat/>
    <w:rPr>
      <w:rFonts w:ascii="Symbol" w:hAnsi="Symbol" w:cs="Symbol"/>
    </w:rPr>
  </w:style>
  <w:style w:type="character" w:styleId="WW8Num35z0">
    <w:name w:val="WW8Num35z0"/>
    <w:qFormat/>
    <w:rPr>
      <w:rFonts w:ascii="Symbol" w:hAnsi="Symbol" w:cs="Symbol"/>
    </w:rPr>
  </w:style>
  <w:style w:type="character" w:styleId="WW8Num37z0">
    <w:name w:val="WW8Num37z0"/>
    <w:qFormat/>
    <w:rPr>
      <w:rFonts w:ascii="Symbol" w:hAnsi="Symbol" w:cs="Symbol"/>
    </w:rPr>
  </w:style>
  <w:style w:type="character" w:styleId="WW8Num38z0">
    <w:name w:val="WW8Num38z0"/>
    <w:qFormat/>
    <w:rPr>
      <w:rFonts w:ascii="Courier New" w:hAnsi="Courier New" w:cs="Courier New"/>
    </w:rPr>
  </w:style>
  <w:style w:type="character" w:styleId="WW8Num38z2">
    <w:name w:val="WW8Num38z2"/>
    <w:qFormat/>
    <w:rPr>
      <w:rFonts w:ascii="Wingdings" w:hAnsi="Wingdings" w:cs="Wingdings"/>
    </w:rPr>
  </w:style>
  <w:style w:type="character" w:styleId="WW8Num38z3">
    <w:name w:val="WW8Num38z3"/>
    <w:qFormat/>
    <w:rPr>
      <w:rFonts w:ascii="Symbol" w:hAnsi="Symbol" w:cs="Symbol"/>
    </w:rPr>
  </w:style>
  <w:style w:type="character" w:styleId="WW8Num39z0">
    <w:name w:val="WW8Num39z0"/>
    <w:qFormat/>
    <w:rPr>
      <w:rFonts w:ascii="Symbol" w:hAnsi="Symbol" w:cs="Symbol"/>
    </w:rPr>
  </w:style>
  <w:style w:type="character" w:styleId="WW8Num40z0">
    <w:name w:val="WW8Num40z0"/>
    <w:qFormat/>
    <w:rPr>
      <w:rFonts w:ascii="Symbol" w:hAnsi="Symbol" w:cs="Symbol"/>
    </w:rPr>
  </w:style>
  <w:style w:type="character" w:styleId="WW8Num41z0">
    <w:name w:val="WW8Num41z0"/>
    <w:qFormat/>
    <w:rPr>
      <w:rFonts w:ascii="Symbol" w:hAnsi="Symbol" w:cs="Symbol"/>
    </w:rPr>
  </w:style>
  <w:style w:type="character" w:styleId="WW8Num42z0">
    <w:name w:val="WW8Num42z0"/>
    <w:qFormat/>
    <w:rPr>
      <w:rFonts w:ascii="Symbol" w:hAnsi="Symbol" w:cs="Symbol"/>
    </w:rPr>
  </w:style>
  <w:style w:type="character" w:styleId="WW8Num43z0">
    <w:name w:val="WW8Num43z0"/>
    <w:qFormat/>
    <w:rPr>
      <w:rFonts w:ascii="Symbol" w:hAnsi="Symbol" w:cs="Symbol"/>
    </w:rPr>
  </w:style>
  <w:style w:type="character" w:styleId="WW8Num44z0">
    <w:name w:val="WW8Num44z0"/>
    <w:qFormat/>
    <w:rPr>
      <w:rFonts w:ascii="Symbol" w:hAnsi="Symbol" w:cs="Symbol"/>
    </w:rPr>
  </w:style>
  <w:style w:type="character" w:styleId="DefaultParagraphFont">
    <w:name w:val="Default Paragraph Font"/>
    <w:qFormat/>
    <w:rPr/>
  </w:style>
  <w:style w:type="character" w:styleId="PageNumber">
    <w:name w:val="page number"/>
    <w:basedOn w:val="DefaultParagraphFont"/>
    <w:rPr/>
  </w:style>
  <w:style w:type="character" w:styleId="EndnoteCharacters">
    <w:name w:val="Endnote Characters"/>
    <w:basedOn w:val="DefaultParagraphFont"/>
    <w:qFormat/>
    <w:rPr>
      <w:vertAlign w:val="superscript"/>
    </w:rPr>
  </w:style>
  <w:style w:type="character" w:styleId="content9pt1">
    <w:name w:val="content9pt1"/>
    <w:basedOn w:val="DefaultParagraphFont"/>
    <w:qFormat/>
    <w:rPr>
      <w:rFonts w:ascii="Verdana" w:hAnsi="Verdana" w:cs="Verdana"/>
      <w:strike w:val="false"/>
      <w:dstrike w:val="false"/>
      <w:color w:val="000000"/>
      <w:sz w:val="18"/>
      <w:szCs w:val="18"/>
      <w:u w:val="none"/>
    </w:rPr>
  </w:style>
  <w:style w:type="character" w:styleId="CommentReference">
    <w:name w:val="Comment Reference"/>
    <w:basedOn w:val="DefaultParagraphFont"/>
    <w:qFormat/>
    <w:rPr>
      <w:sz w:val="16"/>
      <w:szCs w:val="16"/>
    </w:rPr>
  </w:style>
  <w:style w:type="character" w:styleId="FootnoteCharacters">
    <w:name w:val="Footnote Characters"/>
    <w:basedOn w:val="DefaultParagraphFont"/>
    <w:qFormat/>
    <w:rPr>
      <w:vertAlign w:val="superscript"/>
    </w:rPr>
  </w:style>
  <w:style w:type="character" w:styleId="Hyperlink">
    <w:name w:val="Hyperlink"/>
    <w:basedOn w:val="DefaultParagraphFont"/>
    <w:rPr>
      <w:emboss/>
      <w:color w:val="0000FF"/>
      <w:u w:val="single"/>
    </w:rPr>
  </w:style>
  <w:style w:type="paragraph" w:styleId="Heading">
    <w:name w:val="Heading"/>
    <w:basedOn w:val="Normal"/>
    <w:next w:val="BodyText"/>
    <w:qFormat/>
    <w:pPr>
      <w:jc w:val="center"/>
    </w:pPr>
    <w:rPr>
      <w:rFonts w:ascii="Arial Black" w:hAnsi="Arial Black" w:cs="Arial Black"/>
      <w:sz w:val="28"/>
    </w:rPr>
  </w:style>
  <w:style w:type="paragraph" w:styleId="BodyText">
    <w:name w:val="Body Text"/>
    <w:basedOn w:val="Normal"/>
    <w:pPr/>
    <w:rPr>
      <w:rFonts w:ascii="Arial" w:hAnsi="Arial" w:cs="Arial"/>
      <w:sz w:val="22"/>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Subtitle">
    <w:name w:val="Subtitle"/>
    <w:basedOn w:val="Normal"/>
    <w:next w:val="BodyText"/>
    <w:qFormat/>
    <w:pPr>
      <w:jc w:val="center"/>
    </w:pPr>
    <w:rPr>
      <w:rFonts w:ascii="Arial" w:hAnsi="Arial" w:cs="Arial"/>
      <w:sz w:val="24"/>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BodyTextIndent">
    <w:name w:val="Body Text Indent"/>
    <w:basedOn w:val="Normal"/>
    <w:pPr>
      <w:ind w:hanging="0" w:start="3600" w:end="0"/>
    </w:pPr>
    <w:rPr>
      <w:rFonts w:ascii="Arial" w:hAnsi="Arial" w:cs="Arial"/>
      <w:sz w:val="22"/>
    </w:rPr>
  </w:style>
  <w:style w:type="paragraph" w:styleId="BodyText2">
    <w:name w:val="Body Text 2"/>
    <w:basedOn w:val="Normal"/>
    <w:qFormat/>
    <w:pPr>
      <w:jc w:val="center"/>
    </w:pPr>
    <w:rPr>
      <w:b/>
      <w:bCs/>
    </w:rPr>
  </w:style>
  <w:style w:type="paragraph" w:styleId="BodyText3">
    <w:name w:val="Body Text 3"/>
    <w:basedOn w:val="Normal"/>
    <w:qFormat/>
    <w:pPr>
      <w:jc w:val="center"/>
    </w:pPr>
    <w:rPr>
      <w:b/>
      <w:bCs/>
      <w:color w:val="FFFFFF"/>
    </w:rPr>
  </w:style>
  <w:style w:type="paragraph" w:styleId="TitleCover">
    <w:name w:val="Title Cover"/>
    <w:basedOn w:val="Normal"/>
    <w:next w:val="Normal"/>
    <w:qFormat/>
    <w:pPr>
      <w:keepNext w:val="true"/>
      <w:keepLines/>
      <w:spacing w:lineRule="atLeast" w:line="720" w:before="0" w:after="240"/>
      <w:jc w:val="center"/>
    </w:pPr>
    <w:rPr>
      <w:rFonts w:ascii="Garamond" w:hAnsi="Garamond" w:cs="Garamond"/>
      <w:caps/>
      <w:spacing w:val="65"/>
      <w:kern w:val="2"/>
      <w:sz w:val="64"/>
    </w:rPr>
  </w:style>
  <w:style w:type="paragraph" w:styleId="ChapterSubtitle">
    <w:name w:val="Chapter Subtitle"/>
    <w:basedOn w:val="Subtitle"/>
    <w:qFormat/>
    <w:pPr>
      <w:keepNext w:val="true"/>
      <w:keepLines/>
      <w:spacing w:before="140" w:after="420"/>
    </w:pPr>
    <w:rPr>
      <w:rFonts w:ascii="Garamond" w:hAnsi="Garamond" w:cs="Garamond"/>
      <w:caps/>
      <w:spacing w:val="20"/>
      <w:kern w:val="2"/>
      <w:sz w:val="22"/>
    </w:rPr>
  </w:style>
  <w:style w:type="paragraph" w:styleId="BodyTextIndent2">
    <w:name w:val="Body Text Indent 2"/>
    <w:basedOn w:val="Normal"/>
    <w:qFormat/>
    <w:pPr>
      <w:ind w:firstLine="720" w:start="1440" w:end="0"/>
    </w:pPr>
    <w:rPr>
      <w:rFonts w:ascii="Arial" w:hAnsi="Arial" w:cs="Arial"/>
      <w:sz w:val="24"/>
    </w:rPr>
  </w:style>
  <w:style w:type="paragraph" w:styleId="EndnoteText">
    <w:name w:val="endnote text"/>
    <w:basedOn w:val="Normal"/>
    <w:pPr/>
    <w:rPr/>
  </w:style>
  <w:style w:type="paragraph" w:styleId="CommentText">
    <w:name w:val="Comment Text"/>
    <w:basedOn w:val="Normal"/>
    <w:qFormat/>
    <w:pPr/>
    <w:rPr/>
  </w:style>
  <w:style w:type="paragraph" w:styleId="PlainText">
    <w:name w:val="Plain Text"/>
    <w:basedOn w:val="Normal"/>
    <w:qFormat/>
    <w:pPr/>
    <w:rPr>
      <w:rFonts w:ascii="Courier New" w:hAnsi="Courier New" w:cs="Courier New"/>
    </w:rPr>
  </w:style>
  <w:style w:type="paragraph" w:styleId="FootnoteText">
    <w:name w:val="footnote text"/>
    <w:basedOn w:val="Normal"/>
    <w:pPr/>
    <w:rPr/>
  </w:style>
  <w:style w:type="paragraph" w:styleId="FrameContents">
    <w:name w:val="Frame Contents"/>
    <w:basedOn w:val="Normal"/>
    <w:qFormat/>
    <w:pPr/>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 w:type="numbering" w:styleId="WW8Num15">
    <w:name w:val="WW8Num15"/>
    <w:qFormat/>
  </w:style>
  <w:style w:type="numbering" w:styleId="WW8Num16">
    <w:name w:val="WW8Num16"/>
    <w:qFormat/>
  </w:style>
  <w:style w:type="numbering" w:styleId="WW8Num17">
    <w:name w:val="WW8Num17"/>
    <w:qFormat/>
  </w:style>
  <w:style w:type="numbering" w:styleId="WW8Num18">
    <w:name w:val="WW8Num18"/>
    <w:qFormat/>
  </w:style>
  <w:style w:type="numbering" w:styleId="WW8Num19">
    <w:name w:val="WW8Num19"/>
    <w:qFormat/>
  </w:style>
  <w:style w:type="numbering" w:styleId="WW8Num20">
    <w:name w:val="WW8Num20"/>
    <w:qFormat/>
  </w:style>
  <w:style w:type="numbering" w:styleId="WW8Num21">
    <w:name w:val="WW8Num21"/>
    <w:qFormat/>
  </w:style>
  <w:style w:type="numbering" w:styleId="WW8Num22">
    <w:name w:val="WW8Num22"/>
    <w:qFormat/>
  </w:style>
  <w:style w:type="numbering" w:styleId="WW8Num23">
    <w:name w:val="WW8Num23"/>
    <w:qFormat/>
  </w:style>
  <w:style w:type="numbering" w:styleId="WW8Num24">
    <w:name w:val="WW8Num24"/>
    <w:qFormat/>
  </w:style>
  <w:style w:type="numbering" w:styleId="WW8Num25">
    <w:name w:val="WW8Num25"/>
    <w:qFormat/>
  </w:style>
  <w:style w:type="numbering" w:styleId="WW8Num26">
    <w:name w:val="WW8Num26"/>
    <w:qFormat/>
  </w:style>
  <w:style w:type="numbering" w:styleId="WW8Num27">
    <w:name w:val="WW8Num27"/>
    <w:qFormat/>
  </w:style>
  <w:style w:type="numbering" w:styleId="WW8Num28">
    <w:name w:val="WW8Num28"/>
    <w:qFormat/>
  </w:style>
  <w:style w:type="numbering" w:styleId="WW8Num29">
    <w:name w:val="WW8Num29"/>
    <w:qFormat/>
  </w:style>
  <w:style w:type="numbering" w:styleId="WW8Num30">
    <w:name w:val="WW8Num30"/>
    <w:qFormat/>
  </w:style>
  <w:style w:type="numbering" w:styleId="WW8Num31">
    <w:name w:val="WW8Num31"/>
    <w:qFormat/>
  </w:style>
  <w:style w:type="numbering" w:styleId="WW8Num32">
    <w:name w:val="WW8Num32"/>
    <w:qFormat/>
  </w:style>
  <w:style w:type="numbering" w:styleId="WW8Num33">
    <w:name w:val="WW8Num33"/>
    <w:qFormat/>
  </w:style>
  <w:style w:type="numbering" w:styleId="WW8Num34">
    <w:name w:val="WW8Num34"/>
    <w:qFormat/>
  </w:style>
  <w:style w:type="numbering" w:styleId="WW8Num35">
    <w:name w:val="WW8Num35"/>
    <w:qFormat/>
  </w:style>
  <w:style w:type="numbering" w:styleId="WW8Num36">
    <w:name w:val="WW8Num36"/>
    <w:qFormat/>
  </w:style>
  <w:style w:type="numbering" w:styleId="WW8Num37">
    <w:name w:val="WW8Num37"/>
    <w:qFormat/>
  </w:style>
  <w:style w:type="numbering" w:styleId="WW8Num38">
    <w:name w:val="WW8Num38"/>
    <w:qFormat/>
  </w:style>
  <w:style w:type="numbering" w:styleId="WW8Num39">
    <w:name w:val="WW8Num39"/>
    <w:qFormat/>
  </w:style>
  <w:style w:type="numbering" w:styleId="WW8Num40">
    <w:name w:val="WW8Num40"/>
    <w:qFormat/>
  </w:style>
  <w:style w:type="numbering" w:styleId="WW8Num41">
    <w:name w:val="WW8Num41"/>
    <w:qFormat/>
  </w:style>
  <w:style w:type="numbering" w:styleId="WW8Num42">
    <w:name w:val="WW8Num42"/>
    <w:qFormat/>
  </w:style>
  <w:style w:type="numbering" w:styleId="WW8Num43">
    <w:name w:val="WW8Num43"/>
    <w:qFormat/>
  </w:style>
  <w:style w:type="numbering" w:styleId="WW8Num44">
    <w:name w:val="WW8Num44"/>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footer" Target="footer1.xml"/><Relationship Id="rId5" Type="http://schemas.openxmlformats.org/officeDocument/2006/relationships/footer" Target="footer2.xml"/><Relationship Id="rId6" Type="http://schemas.openxmlformats.org/officeDocument/2006/relationships/numbering" Target="numbering.xml"/><Relationship Id="rId7" Type="http://schemas.openxmlformats.org/officeDocument/2006/relationships/fontTable" Target="fontTable.xml"/><Relationship Id="rId8" Type="http://schemas.openxmlformats.org/officeDocument/2006/relationships/settings" Target="settings.xml"/><Relationship Id="rId9"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4</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2001-10-25T14:21:00Z</dcterms:created>
  <dc:creator>tpeiker</dc:creator>
  <dc:description/>
  <dc:language>en-CA</dc:language>
  <cp:lastModifiedBy>Sarah Zarkowsky</cp:lastModifiedBy>
  <cp:lastPrinted>2001-10-24T14:35:00Z</cp:lastPrinted>
  <dcterms:modified xsi:type="dcterms:W3CDTF">2001-10-25T14:21:00Z</dcterms:modified>
  <cp:revision>2</cp:revision>
  <dc:subject/>
  <dc:title>Recruiter Rewards Program Proposal</dc:title>
</cp:coreProperties>
</file>