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i/>
          <w:i/>
          <w:iCs/>
        </w:rPr>
      </w:pPr>
      <w:r>
        <w:rPr>
          <w:b/>
          <w:bCs/>
          <w:i/>
          <w:iCs/>
        </w:rPr>
        <w:t xml:space="preserve">The Objective  </w:t>
      </w:r>
    </w:p>
    <w:p>
      <w:pPr>
        <w:pStyle w:val="Normal"/>
        <w:rPr/>
      </w:pPr>
      <w:r>
        <w:rPr/>
        <w:t>Broker a solution that:</w:t>
      </w:r>
    </w:p>
    <w:p>
      <w:pPr>
        <w:pStyle w:val="Normal"/>
        <w:numPr>
          <w:ilvl w:val="0"/>
          <w:numId w:val="4"/>
        </w:numPr>
        <w:tabs>
          <w:tab w:val="clear" w:pos="720"/>
        </w:tabs>
        <w:rPr/>
      </w:pPr>
      <w:r>
        <w:rPr/>
        <w:t>Provides the Governor and the California Legislature with an acceptable political solution</w:t>
      </w:r>
    </w:p>
    <w:p>
      <w:pPr>
        <w:pStyle w:val="Normal"/>
        <w:numPr>
          <w:ilvl w:val="0"/>
          <w:numId w:val="4"/>
        </w:numPr>
        <w:tabs>
          <w:tab w:val="clear" w:pos="720"/>
        </w:tabs>
        <w:rPr/>
      </w:pPr>
      <w:r>
        <w:rPr/>
        <w:t>Leverages private, rather than public, resources to the greatest extent possible.</w:t>
      </w:r>
    </w:p>
    <w:p>
      <w:pPr>
        <w:pStyle w:val="Normal"/>
        <w:numPr>
          <w:ilvl w:val="0"/>
          <w:numId w:val="4"/>
        </w:numPr>
        <w:tabs>
          <w:tab w:val="clear" w:pos="720"/>
        </w:tabs>
        <w:rPr/>
      </w:pPr>
      <w:r>
        <w:rPr/>
        <w:t>Resolves the short-term financial crisis, thereby providing additional time to consider “long term solutions” and avoid undesirable policy choices (i.e., legislation aimed at “taking over” California’s energy industry)</w:t>
      </w:r>
    </w:p>
    <w:p>
      <w:pPr>
        <w:pStyle w:val="Normal"/>
        <w:rPr/>
      </w:pPr>
      <w:r>
        <w:rPr/>
      </w:r>
    </w:p>
    <w:p>
      <w:pPr>
        <w:pStyle w:val="Heading1"/>
        <w:ind w:hanging="0" w:start="0"/>
        <w:rPr/>
      </w:pPr>
      <w:r>
        <w:rPr/>
        <w:t>The Framework</w:t>
      </w:r>
    </w:p>
    <w:p>
      <w:pPr>
        <w:pStyle w:val="Normal"/>
        <w:rPr/>
      </w:pPr>
      <w:r>
        <w:rPr/>
        <w:t>Build on the models used by the Federal Reserve (e.g., Long Term Capital Management) and the Clinton Administration (e.g., Korea and Mexico)</w:t>
      </w:r>
    </w:p>
    <w:p>
      <w:pPr>
        <w:pStyle w:val="Normal"/>
        <w:numPr>
          <w:ilvl w:val="0"/>
          <w:numId w:val="6"/>
        </w:numPr>
        <w:tabs>
          <w:tab w:val="clear" w:pos="720"/>
        </w:tabs>
        <w:rPr/>
      </w:pPr>
      <w:r>
        <w:rPr/>
        <w:t>Persuade large customers to loan the utilities the cash necessary to pay their creditors</w:t>
      </w:r>
    </w:p>
    <w:p>
      <w:pPr>
        <w:pStyle w:val="Normal"/>
        <w:numPr>
          <w:ilvl w:val="0"/>
          <w:numId w:val="6"/>
        </w:numPr>
        <w:tabs>
          <w:tab w:val="clear" w:pos="720"/>
        </w:tabs>
        <w:rPr/>
      </w:pPr>
      <w:r>
        <w:rPr/>
        <w:t>The cash provided would constitute a loan, not a gift</w:t>
      </w:r>
    </w:p>
    <w:p>
      <w:pPr>
        <w:pStyle w:val="Normal"/>
        <w:numPr>
          <w:ilvl w:val="0"/>
          <w:numId w:val="6"/>
        </w:numPr>
        <w:tabs>
          <w:tab w:val="clear" w:pos="720"/>
        </w:tabs>
        <w:rPr/>
      </w:pPr>
      <w:r>
        <w:rPr/>
        <w:t>Persuade large customers to accept a rate increase</w:t>
      </w:r>
    </w:p>
    <w:p>
      <w:pPr>
        <w:pStyle w:val="Normal"/>
        <w:numPr>
          <w:ilvl w:val="0"/>
          <w:numId w:val="6"/>
        </w:numPr>
        <w:tabs>
          <w:tab w:val="clear" w:pos="720"/>
        </w:tabs>
        <w:rPr/>
      </w:pPr>
      <w:r>
        <w:rPr/>
        <w:t xml:space="preserve">Persuade small customers, </w:t>
      </w:r>
      <w:r>
        <w:rPr>
          <w:b/>
          <w:bCs/>
          <w:i/>
          <w:iCs/>
        </w:rPr>
        <w:t>as part of an overall conservation strategy</w:t>
      </w:r>
      <w:r>
        <w:rPr/>
        <w:t>, to accept tiered rates (As long as small customers consume at historical, annual average rates, they will see no rate increases, but consumption that exceeds the historical annual average will be subject to a higher rate.)</w:t>
      </w:r>
    </w:p>
    <w:p>
      <w:pPr>
        <w:pStyle w:val="Normal"/>
        <w:numPr>
          <w:ilvl w:val="0"/>
          <w:numId w:val="6"/>
        </w:numPr>
        <w:tabs>
          <w:tab w:val="clear" w:pos="720"/>
        </w:tabs>
        <w:rPr/>
      </w:pPr>
      <w:r>
        <w:rPr/>
        <w:t xml:space="preserve">A tiered rate structure could also be in place for large customers in order to provide conservation incentives and additional revenues to pay off the loan </w:t>
      </w:r>
    </w:p>
    <w:p>
      <w:pPr>
        <w:pStyle w:val="Normal"/>
        <w:numPr>
          <w:ilvl w:val="0"/>
          <w:numId w:val="6"/>
        </w:numPr>
        <w:tabs>
          <w:tab w:val="clear" w:pos="720"/>
        </w:tabs>
        <w:rPr/>
      </w:pPr>
      <w:r>
        <w:rPr/>
        <w:t>The loan made by large customers to the utility would be secured by the rate increase on large customers and the tiered rate structure applied to small (and possibly large) customers</w:t>
      </w:r>
    </w:p>
    <w:p>
      <w:pPr>
        <w:pStyle w:val="Normal"/>
        <w:numPr>
          <w:ilvl w:val="0"/>
          <w:numId w:val="6"/>
        </w:numPr>
        <w:tabs>
          <w:tab w:val="clear" w:pos="720"/>
        </w:tabs>
        <w:rPr/>
      </w:pPr>
      <w:r>
        <w:rPr/>
        <w:t xml:space="preserve">The State would likely have to back the loan in some fashion, though the backing would presumably be nominal, since the loan would principally be secured by rate increases on large customers </w:t>
      </w:r>
    </w:p>
    <w:p>
      <w:pPr>
        <w:pStyle w:val="Normal"/>
        <w:numPr>
          <w:ilvl w:val="0"/>
          <w:numId w:val="6"/>
        </w:numPr>
        <w:tabs>
          <w:tab w:val="clear" w:pos="720"/>
        </w:tabs>
        <w:rPr/>
      </w:pPr>
      <w:r>
        <w:rPr/>
        <w:t>In return, the utility would agree to:</w:t>
      </w:r>
    </w:p>
    <w:p>
      <w:pPr>
        <w:pStyle w:val="Normal"/>
        <w:numPr>
          <w:ilvl w:val="1"/>
          <w:numId w:val="3"/>
        </w:numPr>
        <w:tabs>
          <w:tab w:val="clear" w:pos="720"/>
        </w:tabs>
        <w:ind w:hanging="540" w:start="900" w:end="0"/>
        <w:rPr/>
      </w:pPr>
      <w:r>
        <w:rPr/>
        <w:t>Absorb a portion of the debt currently on its books</w:t>
      </w:r>
    </w:p>
    <w:p>
      <w:pPr>
        <w:pStyle w:val="Normal"/>
        <w:numPr>
          <w:ilvl w:val="1"/>
          <w:numId w:val="3"/>
        </w:numPr>
        <w:tabs>
          <w:tab w:val="clear" w:pos="720"/>
        </w:tabs>
        <w:ind w:hanging="360" w:start="720" w:end="0"/>
        <w:rPr/>
      </w:pPr>
      <w:r>
        <w:rPr/>
        <w:t>Eliminate all tariffs that currently impede customers—large customers in particular—from installing generating units on their premises</w:t>
      </w:r>
    </w:p>
    <w:p>
      <w:pPr>
        <w:pStyle w:val="Normal"/>
        <w:numPr>
          <w:ilvl w:val="1"/>
          <w:numId w:val="3"/>
        </w:numPr>
        <w:tabs>
          <w:tab w:val="clear" w:pos="720"/>
        </w:tabs>
        <w:ind w:hanging="360" w:start="720" w:end="0"/>
        <w:rPr/>
      </w:pPr>
      <w:r>
        <w:rPr/>
        <w:t>Permit other service providers to compete to provide electricity service to specified tranches of utility customers, with the goal of enhancing consumer choice and reducing the utilities’ purchasing requirements</w:t>
      </w:r>
    </w:p>
    <w:p>
      <w:pPr>
        <w:pStyle w:val="Normal"/>
        <w:numPr>
          <w:ilvl w:val="1"/>
          <w:numId w:val="2"/>
        </w:numPr>
        <w:tabs>
          <w:tab w:val="clear" w:pos="720"/>
        </w:tabs>
        <w:ind w:hanging="360" w:start="360" w:end="0"/>
        <w:rPr/>
      </w:pPr>
      <w:r>
        <w:rPr/>
        <w:t>In return creditors, including power suppliers, would agree to reschedule utility debt payments.  This would allow the utilities to pay off a portion of its debt and retain some of the loan proceeds to purchase power on behalf of consumers.</w:t>
      </w:r>
    </w:p>
    <w:p>
      <w:pPr>
        <w:pStyle w:val="Normal"/>
        <w:rPr/>
      </w:pPr>
      <w:r>
        <w:rPr/>
      </w:r>
    </w:p>
    <w:p>
      <w:pPr>
        <w:pStyle w:val="Heading1"/>
        <w:ind w:hanging="0" w:start="0"/>
        <w:rPr/>
      </w:pPr>
      <w:r>
        <w:rPr/>
        <w:t>The Proposal’s Advantages</w:t>
      </w:r>
    </w:p>
    <w:p>
      <w:pPr>
        <w:pStyle w:val="Normal"/>
        <w:numPr>
          <w:ilvl w:val="1"/>
          <w:numId w:val="7"/>
        </w:numPr>
        <w:tabs>
          <w:tab w:val="clear" w:pos="720"/>
        </w:tabs>
        <w:ind w:hanging="360" w:start="360" w:end="0"/>
        <w:rPr/>
      </w:pPr>
      <w:r>
        <w:rPr/>
        <w:t>The Governor can avoid raising rates on residential and small consumers (save for the “conservation-minded” tiered rate structure).</w:t>
      </w:r>
    </w:p>
    <w:p>
      <w:pPr>
        <w:pStyle w:val="Normal"/>
        <w:numPr>
          <w:ilvl w:val="1"/>
          <w:numId w:val="7"/>
        </w:numPr>
        <w:tabs>
          <w:tab w:val="clear" w:pos="720"/>
        </w:tabs>
        <w:ind w:hanging="360" w:start="360" w:end="0"/>
        <w:rPr/>
      </w:pPr>
      <w:r>
        <w:rPr/>
        <w:t>The Governor can keep the utilities solvent.</w:t>
      </w:r>
    </w:p>
    <w:p>
      <w:pPr>
        <w:pStyle w:val="Normal"/>
        <w:numPr>
          <w:ilvl w:val="1"/>
          <w:numId w:val="7"/>
        </w:numPr>
        <w:tabs>
          <w:tab w:val="clear" w:pos="720"/>
        </w:tabs>
        <w:ind w:hanging="360" w:start="360" w:end="0"/>
        <w:rPr/>
      </w:pPr>
      <w:r>
        <w:rPr/>
        <w:t>The Governor and the Legislature can deflect any charges of “bailout” since the private sector is providing the capital</w:t>
      </w:r>
    </w:p>
    <w:p>
      <w:pPr>
        <w:pStyle w:val="Normal"/>
        <w:numPr>
          <w:ilvl w:val="1"/>
          <w:numId w:val="7"/>
        </w:numPr>
        <w:tabs>
          <w:tab w:val="clear" w:pos="720"/>
        </w:tabs>
        <w:ind w:hanging="360" w:start="360" w:end="0"/>
        <w:rPr/>
      </w:pPr>
      <w:r>
        <w:rPr/>
        <w:t>The Governor and the Legislature can avoid tapping into the general fund to purchase power for consumers (S&amp;P announced yesterday that it put California on credit watch and may downgrade its bonds in response to the decision to use general funds to buy power)</w:t>
      </w:r>
    </w:p>
    <w:p>
      <w:pPr>
        <w:pStyle w:val="Normal"/>
        <w:numPr>
          <w:ilvl w:val="1"/>
          <w:numId w:val="7"/>
        </w:numPr>
        <w:tabs>
          <w:tab w:val="clear" w:pos="720"/>
        </w:tabs>
        <w:ind w:hanging="360" w:start="360" w:end="0"/>
        <w:rPr/>
      </w:pPr>
      <w:r>
        <w:rPr/>
        <w:t>The Governor can avoid making undesirable policy choices regarding the “long term solution” to California’s energy markets (e.g., “a State takeover” like the one proposed by the State Treasurer)</w:t>
      </w:r>
    </w:p>
    <w:p>
      <w:pPr>
        <w:pStyle w:val="Normal"/>
        <w:numPr>
          <w:ilvl w:val="1"/>
          <w:numId w:val="7"/>
        </w:numPr>
        <w:tabs>
          <w:tab w:val="clear" w:pos="720"/>
        </w:tabs>
        <w:ind w:hanging="360" w:start="360" w:end="0"/>
        <w:rPr/>
      </w:pPr>
      <w:r>
        <w:rPr/>
        <w:t>The business community and small consumers receive reassurance that California’s lights will stay on</w:t>
      </w:r>
    </w:p>
    <w:p>
      <w:pPr>
        <w:pStyle w:val="Normal"/>
        <w:numPr>
          <w:ilvl w:val="1"/>
          <w:numId w:val="7"/>
        </w:numPr>
        <w:tabs>
          <w:tab w:val="clear" w:pos="720"/>
        </w:tabs>
        <w:ind w:hanging="360" w:start="360" w:end="0"/>
        <w:rPr/>
      </w:pPr>
      <w:r>
        <w:rPr/>
        <w:t>California and the nation get reassurance that the electricity crisis won’t plunge California’s economy into a recession (provided that California promptly puts a rational, long term solution in place)</w:t>
      </w:r>
    </w:p>
    <w:p>
      <w:pPr>
        <w:pStyle w:val="Normal"/>
        <w:rPr/>
      </w:pPr>
      <w:r>
        <w:rPr/>
      </w:r>
    </w:p>
    <w:p>
      <w:pPr>
        <w:pStyle w:val="Heading1"/>
        <w:ind w:hanging="0" w:start="0"/>
        <w:rPr/>
      </w:pPr>
      <w:r>
        <w:rPr/>
        <w:t>Action Items</w:t>
      </w:r>
    </w:p>
    <w:p>
      <w:pPr>
        <w:pStyle w:val="Normal"/>
        <w:numPr>
          <w:ilvl w:val="0"/>
          <w:numId w:val="5"/>
        </w:numPr>
        <w:tabs>
          <w:tab w:val="clear" w:pos="720"/>
        </w:tabs>
        <w:rPr/>
      </w:pPr>
      <w:r>
        <w:rPr/>
        <w:t>Identify the California business leaders that need to be brought to the table.  Preferably, those leaders would have the following attributes:  1) represent top 20-40 businesses in California, 2) Democrat, and 3) active in supporting Governor Davis. (Dean Tyson, P. Verleger, J. Dasovich)</w:t>
      </w:r>
    </w:p>
    <w:p>
      <w:pPr>
        <w:pStyle w:val="Normal"/>
        <w:numPr>
          <w:ilvl w:val="0"/>
          <w:numId w:val="5"/>
        </w:numPr>
        <w:tabs>
          <w:tab w:val="clear" w:pos="720"/>
        </w:tabs>
        <w:rPr/>
      </w:pPr>
      <w:r>
        <w:rPr/>
        <w:t>Discuss the plan with the Secretary Summers and determine his willingness to 1) work on the proposal, 2) reconvene the principals, which would include the business leaders, and 3) propose the plan for consideration (Dean Tyson)</w:t>
      </w:r>
    </w:p>
    <w:p>
      <w:pPr>
        <w:pStyle w:val="Normal"/>
        <w:numPr>
          <w:ilvl w:val="0"/>
          <w:numId w:val="5"/>
        </w:numPr>
        <w:tabs>
          <w:tab w:val="clear" w:pos="720"/>
        </w:tabs>
        <w:rPr/>
      </w:pPr>
      <w:r>
        <w:rPr/>
        <w:t>Dean Tyson:  Phil and I thought that it might be constructive to see if former Secretary Rubin would join Secretary Summers at the next meeting, since he would bring considerable expertise and credentials to the table.  Our thought is that the “facilitation team” would consist of you, Secretary Summers, former Secretary Rubin and any staff that you require.  If you think including Mr. Rubin would be useful, we would look to you and Secretary Summers to make the contact.</w:t>
      </w:r>
    </w:p>
    <w:p>
      <w:pPr>
        <w:pStyle w:val="Normal"/>
        <w:numPr>
          <w:ilvl w:val="0"/>
          <w:numId w:val="5"/>
        </w:numPr>
        <w:tabs>
          <w:tab w:val="clear" w:pos="720"/>
        </w:tabs>
        <w:rPr/>
      </w:pPr>
      <w:r>
        <w:rPr/>
        <w:t>Determine in advance of the meeting whether the business leaders would agree to the plan (Dean Tyson, Secretaries Summers and Rubin)</w:t>
      </w:r>
    </w:p>
    <w:p>
      <w:pPr>
        <w:pStyle w:val="Normal"/>
        <w:numPr>
          <w:ilvl w:val="0"/>
          <w:numId w:val="5"/>
        </w:numPr>
        <w:tabs>
          <w:tab w:val="clear" w:pos="720"/>
        </w:tabs>
        <w:rPr/>
      </w:pPr>
      <w:r>
        <w:rPr/>
        <w:t>Determine whether the Federal Reserve would be willing to offer its offices in San Francisco to convene the meeting of the principals (Dean Tyson—apologies you seem to be shouldering many of the action items)</w:t>
      </w:r>
    </w:p>
    <w:p>
      <w:pPr>
        <w:pStyle w:val="Normal"/>
        <w:numPr>
          <w:ilvl w:val="0"/>
          <w:numId w:val="5"/>
        </w:numPr>
        <w:tabs>
          <w:tab w:val="clear" w:pos="720"/>
        </w:tabs>
        <w:rPr/>
      </w:pPr>
      <w:r>
        <w:rPr/>
        <w:t>Perform preliminary analysis to determine the level of rate increase needed to service the loan.  The analysis would include various terms (e.g., 3 years, 5 years, 10 years) (Enron)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1440"/>
        </w:tabs>
        <w:ind w:start="1368" w:hanging="288"/>
      </w:pPr>
      <w:rPr>
        <w:rFonts w:ascii="Wingdings" w:hAnsi="Wingdings" w:cs="Wingdings" w:hint="default"/>
      </w:rPr>
    </w:lvl>
    <w:lvl w:ilvl="2">
      <w:start w:val="1"/>
      <w:numFmt w:val="bullet"/>
      <w:lvlText w:val=""/>
      <w:lvlJc w:val="start"/>
      <w:pPr>
        <w:tabs>
          <w:tab w:val="num" w:pos="2232"/>
        </w:tabs>
        <w:ind w:start="2232" w:hanging="432"/>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360"/>
        </w:tabs>
        <w:ind w:start="288" w:hanging="288"/>
      </w:pPr>
      <w:rPr>
        <w:rFonts w:ascii="Wingdings" w:hAnsi="Wingdings" w:cs="Wingdings" w:hint="default"/>
      </w:rPr>
    </w:lvl>
  </w:abstractNum>
  <w:abstractNum w:abstractNumId="5">
    <w:lvl w:ilvl="0">
      <w:start w:val="1"/>
      <w:numFmt w:val="bullet"/>
      <w:lvlText w:val=""/>
      <w:lvlJc w:val="start"/>
      <w:pPr>
        <w:tabs>
          <w:tab w:val="num" w:pos="360"/>
        </w:tabs>
        <w:ind w:start="288" w:hanging="288"/>
      </w:pPr>
      <w:rPr>
        <w:rFonts w:ascii="Wingdings" w:hAnsi="Wingdings" w:cs="Wingdings" w:hint="default"/>
      </w:rPr>
    </w:lvl>
  </w:abstractNum>
  <w:abstractNum w:abstractNumId="6">
    <w:lvl w:ilvl="0">
      <w:start w:val="1"/>
      <w:numFmt w:val="bullet"/>
      <w:lvlText w:val=""/>
      <w:lvlJc w:val="start"/>
      <w:pPr>
        <w:tabs>
          <w:tab w:val="num" w:pos="360"/>
        </w:tabs>
        <w:ind w:start="288" w:hanging="288"/>
      </w:pPr>
      <w:rPr>
        <w:rFonts w:ascii="Wingdings" w:hAnsi="Wingdings" w:cs="Wingdings" w:hint="default"/>
      </w:rPr>
    </w:lvl>
  </w:abstractNum>
  <w:abstractNum w:abstractNumId="7">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1440"/>
        </w:tabs>
        <w:ind w:start="1368" w:hanging="288"/>
      </w:pPr>
      <w:rPr>
        <w:rFonts w:ascii="Wingdings" w:hAnsi="Wingdings" w:cs="Wingdings" w:hint="default"/>
      </w:rPr>
    </w:lvl>
    <w:lvl w:ilvl="2">
      <w:start w:val="1"/>
      <w:numFmt w:val="bullet"/>
      <w:lvlText w:val=""/>
      <w:lvlJc w:val="start"/>
      <w:pPr>
        <w:tabs>
          <w:tab w:val="num" w:pos="2232"/>
        </w:tabs>
        <w:ind w:start="2232" w:hanging="432"/>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2001-01-21T01:50:00Z</dcterms:created>
  <dc:creator>jdasovic</dc:creator>
  <dc:description/>
  <dc:language>en-CA</dc:language>
  <cp:lastModifiedBy>jdasovic</cp:lastModifiedBy>
  <dcterms:modified xsi:type="dcterms:W3CDTF">2001-01-21T02:13:00Z</dcterms:modified>
  <cp:revision>3</cp:revision>
  <dc:subject/>
  <dc:title>Dean Tyson:</dc:title>
</cp:coreProperties>
</file>