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720" w:start="720" w:end="0"/>
        <w:jc w:val="center"/>
        <w:rPr>
          <w:rFonts w:ascii="Arial" w:hAnsi="Arial" w:cs="Arial"/>
          <w:sz w:val="24"/>
          <w:u w:val="single"/>
        </w:rPr>
      </w:pPr>
      <w:r>
        <w:rPr>
          <w:rFonts w:cs="Arial" w:ascii="Arial" w:hAnsi="Arial"/>
          <w:sz w:val="24"/>
          <w:u w:val="single"/>
        </w:rPr>
        <w:t>FORMULATING ANCILLARY SERVICE 12X12’S (Short Version)</w:t>
      </w:r>
    </w:p>
    <w:p>
      <w:pPr>
        <w:pStyle w:val="Heading1"/>
        <w:ind w:hanging="0" w:start="0"/>
        <w:rPr>
          <w:rFonts w:ascii="Arial" w:hAnsi="Arial" w:cs="Arial"/>
          <w:b w:val="false"/>
          <w:sz w:val="24"/>
          <w:u w:val="single"/>
        </w:rPr>
      </w:pPr>
      <w:r>
        <w:rPr>
          <w:rFonts w:cs="Arial" w:ascii="Arial" w:hAnsi="Arial"/>
          <w:b w:val="false"/>
          <w:sz w:val="24"/>
          <w:u w:val="single"/>
        </w:rPr>
      </w:r>
    </w:p>
    <w:p>
      <w:pPr>
        <w:pStyle w:val="Normal"/>
        <w:rPr>
          <w:b/>
        </w:rPr>
      </w:pPr>
      <w:r>
        <w:rPr>
          <w:b/>
        </w:rPr>
      </w:r>
    </w:p>
    <w:p>
      <w:pPr>
        <w:pStyle w:val="Heading1"/>
        <w:ind w:hanging="1440" w:start="1440" w:end="0"/>
        <w:rPr/>
      </w:pPr>
      <w:r>
        <w:rPr>
          <w:rFonts w:cs="Arial" w:ascii="Arial" w:hAnsi="Arial"/>
          <w:sz w:val="18"/>
        </w:rPr>
        <w:t>Title</w:t>
      </w:r>
      <w:r>
        <w:rPr>
          <w:rFonts w:cs="Arial" w:ascii="Arial" w:hAnsi="Arial"/>
          <w:b w:val="false"/>
          <w:sz w:val="18"/>
        </w:rPr>
        <w:tab/>
        <w:t>Ancillary Service Information: Correlation between the cost of ancillary services and the cost of wholesale generation.</w:t>
      </w:r>
    </w:p>
    <w:p>
      <w:pPr>
        <w:pStyle w:val="Normal"/>
        <w:rPr>
          <w:rFonts w:ascii="Arial" w:hAnsi="Arial" w:cs="Arial"/>
          <w:b/>
          <w:sz w:val="18"/>
        </w:rPr>
      </w:pPr>
      <w:r>
        <w:rPr>
          <w:rFonts w:cs="Arial" w:ascii="Arial" w:hAnsi="Arial"/>
          <w:b/>
          <w:sz w:val="18"/>
        </w:rPr>
      </w:r>
    </w:p>
    <w:p>
      <w:pPr>
        <w:pStyle w:val="Normal"/>
        <w:ind w:hanging="1440" w:start="1440" w:end="0"/>
        <w:rPr/>
      </w:pPr>
      <w:r>
        <w:rPr>
          <w:rFonts w:cs="Arial" w:ascii="Arial" w:hAnsi="Arial"/>
          <w:b/>
          <w:sz w:val="18"/>
        </w:rPr>
        <w:t>Objective</w:t>
        <w:tab/>
      </w:r>
      <w:r>
        <w:rPr>
          <w:rFonts w:cs="Arial" w:ascii="Arial" w:hAnsi="Arial"/>
          <w:sz w:val="18"/>
        </w:rPr>
        <w:t>To accurately estimate the cost of ancillary services in NP15 and SP15 as a percentage of the cost of wholesale generation.</w:t>
      </w:r>
    </w:p>
    <w:p>
      <w:pPr>
        <w:pStyle w:val="Normal"/>
        <w:rPr>
          <w:rFonts w:ascii="Arial" w:hAnsi="Arial" w:cs="Arial"/>
          <w:sz w:val="18"/>
        </w:rPr>
      </w:pPr>
      <w:r>
        <w:rPr>
          <w:rFonts w:cs="Arial" w:ascii="Arial" w:hAnsi="Arial"/>
          <w:sz w:val="18"/>
        </w:rPr>
      </w:r>
    </w:p>
    <w:p>
      <w:pPr>
        <w:pStyle w:val="Heading1"/>
        <w:ind w:hanging="900" w:start="900" w:end="0"/>
        <w:rPr/>
      </w:pPr>
      <w:r>
        <w:rPr>
          <w:rFonts w:cs="Arial" w:ascii="Arial" w:hAnsi="Arial"/>
          <w:sz w:val="18"/>
        </w:rPr>
        <w:t>Purpose</w:t>
      </w:r>
      <w:r>
        <w:rPr>
          <w:rFonts w:cs="Arial" w:ascii="Arial" w:hAnsi="Arial"/>
          <w:b w:val="false"/>
          <w:sz w:val="18"/>
        </w:rPr>
        <w:tab/>
        <w:tab/>
        <w:t>To identify appropriate AS Cost in order to:</w:t>
      </w:r>
    </w:p>
    <w:p>
      <w:pPr>
        <w:pStyle w:val="Heading1"/>
        <w:numPr>
          <w:ilvl w:val="0"/>
          <w:numId w:val="4"/>
        </w:numPr>
        <w:tabs>
          <w:tab w:val="clear" w:pos="720"/>
          <w:tab w:val="left" w:pos="1800" w:leader="none"/>
        </w:tabs>
        <w:ind w:hanging="360" w:start="1800" w:end="0"/>
        <w:rPr>
          <w:rFonts w:ascii="Arial" w:hAnsi="Arial" w:cs="Arial"/>
          <w:b w:val="false"/>
          <w:sz w:val="18"/>
        </w:rPr>
      </w:pPr>
      <w:r>
        <w:rPr>
          <w:rFonts w:cs="Arial" w:ascii="Arial" w:hAnsi="Arial"/>
          <w:b w:val="false"/>
          <w:sz w:val="18"/>
        </w:rPr>
        <w:t>Update the curve generation process to more accurately reflect the cost of ancillary services in the market.</w:t>
      </w:r>
    </w:p>
    <w:p>
      <w:pPr>
        <w:pStyle w:val="Heading1"/>
        <w:numPr>
          <w:ilvl w:val="0"/>
          <w:numId w:val="4"/>
        </w:numPr>
        <w:tabs>
          <w:tab w:val="clear" w:pos="720"/>
          <w:tab w:val="left" w:pos="1800" w:leader="none"/>
        </w:tabs>
        <w:ind w:hanging="360" w:start="1800" w:end="0"/>
        <w:rPr>
          <w:rFonts w:ascii="Arial" w:hAnsi="Arial" w:cs="Arial"/>
          <w:b w:val="false"/>
          <w:sz w:val="18"/>
        </w:rPr>
      </w:pPr>
      <w:r>
        <w:rPr>
          <w:rFonts w:cs="Arial" w:ascii="Arial" w:hAnsi="Arial"/>
          <w:b w:val="false"/>
          <w:sz w:val="18"/>
        </w:rPr>
        <w:t>Hedge out the price risk of ancillary services with the purchase of extra generation load.  (implied correlation)</w:t>
      </w:r>
    </w:p>
    <w:p>
      <w:pPr>
        <w:pStyle w:val="Heading1"/>
        <w:numPr>
          <w:ilvl w:val="0"/>
          <w:numId w:val="4"/>
        </w:numPr>
        <w:tabs>
          <w:tab w:val="clear" w:pos="720"/>
          <w:tab w:val="left" w:pos="1800" w:leader="none"/>
        </w:tabs>
        <w:ind w:hanging="360" w:start="1800" w:end="0"/>
        <w:rPr>
          <w:rFonts w:ascii="Arial" w:hAnsi="Arial" w:cs="Arial"/>
          <w:b w:val="false"/>
          <w:sz w:val="18"/>
        </w:rPr>
      </w:pPr>
      <w:r>
        <w:rPr>
          <w:rFonts w:cs="Arial" w:ascii="Arial" w:hAnsi="Arial"/>
          <w:b w:val="false"/>
          <w:sz w:val="18"/>
        </w:rPr>
        <w:t>Sales product for ancillary services.</w:t>
      </w:r>
    </w:p>
    <w:p>
      <w:pPr>
        <w:pStyle w:val="Heading1"/>
        <w:ind w:hanging="0" w:start="0"/>
        <w:rPr>
          <w:rFonts w:ascii="Arial" w:hAnsi="Arial" w:cs="Arial"/>
          <w:b w:val="false"/>
          <w:sz w:val="18"/>
        </w:rPr>
      </w:pPr>
      <w:r>
        <w:rPr>
          <w:rFonts w:cs="Arial" w:ascii="Arial" w:hAnsi="Arial"/>
          <w:b w:val="false"/>
          <w:sz w:val="18"/>
        </w:rPr>
      </w:r>
    </w:p>
    <w:p>
      <w:pPr>
        <w:pStyle w:val="Heading1"/>
        <w:ind w:hanging="0" w:start="0"/>
        <w:rPr>
          <w:rFonts w:ascii="Arial" w:hAnsi="Arial" w:cs="Arial"/>
          <w:sz w:val="18"/>
        </w:rPr>
      </w:pPr>
      <w:r>
        <w:rPr>
          <w:rFonts w:cs="Arial" w:ascii="Arial" w:hAnsi="Arial"/>
          <w:sz w:val="18"/>
        </w:rPr>
        <w:t xml:space="preserve">Equations </w:t>
      </w:r>
    </w:p>
    <w:p>
      <w:pPr>
        <w:pStyle w:val="Normal"/>
        <w:rPr>
          <w:rFonts w:ascii="Arial" w:hAnsi="Arial" w:cs="Arial"/>
          <w:sz w:val="18"/>
        </w:rPr>
      </w:pPr>
      <w:r>
        <w:rPr>
          <w:rFonts w:cs="Arial" w:ascii="Arial" w:hAnsi="Arial"/>
          <w:sz w:val="18"/>
        </w:rPr>
      </w:r>
    </w:p>
    <w:p>
      <w:pPr>
        <w:pStyle w:val="Normal"/>
        <w:ind w:hanging="630" w:start="1350" w:end="0"/>
        <w:rPr>
          <w:rFonts w:ascii="Arial" w:hAnsi="Arial" w:cs="Arial"/>
          <w:sz w:val="18"/>
        </w:rPr>
      </w:pPr>
      <w:r>
        <w:rPr>
          <w:rFonts w:cs="Arial" w:ascii="Arial" w:hAnsi="Arial"/>
          <w:sz w:val="18"/>
        </w:rPr>
        <w:t xml:space="preserve">β = $Total Ancillary Services  </w:t>
      </w:r>
    </w:p>
    <w:p>
      <w:pPr>
        <w:pStyle w:val="BodyTextIndent"/>
        <w:rPr/>
      </w:pPr>
      <w:r>
        <w:rPr>
          <w:rFonts w:cs="Arial" w:ascii="Arial" w:hAnsi="Arial"/>
          <w:sz w:val="18"/>
        </w:rPr>
        <w:t>[[Spin Total Demand x Spin MCP] + [Non-Spin Total Demand x Non-Spin MCP] + [Replacement Total Demand x Replacement MCP] + [Regulation Up Total Demand x Regulation Up MCP] + [Regulation Down Total Demand x Regulation Down MCP]]</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ab/>
        <w:t>Φ  = %AS of Gen = (AS MCP * AS Demand) / ((Gen MCP * Gen Demand)</w:t>
      </w:r>
    </w:p>
    <w:p>
      <w:pPr>
        <w:pStyle w:val="BodyTextIndent"/>
        <w:ind w:start="0" w:end="0"/>
        <w:rPr>
          <w:rFonts w:ascii="Arial" w:hAnsi="Arial" w:cs="Arial"/>
          <w:sz w:val="18"/>
        </w:rPr>
      </w:pPr>
      <w:r>
        <w:rPr>
          <w:rFonts w:cs="Arial" w:ascii="Arial" w:hAnsi="Arial"/>
          <w:sz w:val="18"/>
        </w:rPr>
      </w:r>
    </w:p>
    <w:p>
      <w:pPr>
        <w:pStyle w:val="BodyTextIndent"/>
        <w:ind w:start="0" w:end="0"/>
        <w:rPr>
          <w:rFonts w:ascii="Arial" w:hAnsi="Arial" w:cs="Arial"/>
          <w:b/>
          <w:sz w:val="18"/>
        </w:rPr>
      </w:pPr>
      <w:r>
        <w:rPr>
          <w:rFonts w:cs="Arial" w:ascii="Arial" w:hAnsi="Arial"/>
          <w:b/>
          <w:sz w:val="18"/>
        </w:rPr>
        <w:t>12x12 Definition:</w:t>
      </w:r>
    </w:p>
    <w:p>
      <w:pPr>
        <w:pStyle w:val="BodyTextIndent"/>
        <w:ind w:start="0" w:end="0"/>
        <w:rPr>
          <w:rFonts w:ascii="Arial" w:hAnsi="Arial" w:cs="Arial"/>
          <w:b/>
          <w:sz w:val="18"/>
        </w:rPr>
      </w:pPr>
      <w:r>
        <w:rPr>
          <w:rFonts w:cs="Arial" w:ascii="Arial" w:hAnsi="Arial"/>
          <w:b/>
          <w:sz w:val="18"/>
        </w:rPr>
      </w:r>
    </w:p>
    <w:p>
      <w:pPr>
        <w:pStyle w:val="BodyTextIndent"/>
        <w:ind w:firstLine="720" w:start="0" w:end="0"/>
        <w:rPr>
          <w:rFonts w:ascii="Arial" w:hAnsi="Arial" w:cs="Arial"/>
          <w:sz w:val="18"/>
        </w:rPr>
      </w:pPr>
      <w:r>
        <w:rPr>
          <w:rFonts w:cs="Arial" w:ascii="Arial" w:hAnsi="Arial"/>
          <w:sz w:val="18"/>
        </w:rPr>
        <w:t>WD = Weekday</w:t>
        <w:tab/>
        <w:t>WE = Weekend</w:t>
      </w:r>
    </w:p>
    <w:p>
      <w:pPr>
        <w:pStyle w:val="BodyTextIndent"/>
        <w:ind w:firstLine="720" w:start="0" w:end="0"/>
        <w:rPr/>
      </w:pPr>
      <w:r>
        <w:rPr>
          <w:rFonts w:cs="Arial" w:ascii="Arial" w:hAnsi="Arial"/>
          <w:sz w:val="18"/>
        </w:rPr>
        <w:t>WD1 = HE23-2</w:t>
        <w:tab/>
        <w:t>WD2 = HE3-6</w:t>
        <w:tab/>
        <w:t>WD3 = HE7-10</w:t>
        <w:tab/>
        <w:t>WD4 = HE11-14</w:t>
        <w:tab/>
        <w:t>WD5 = HE15-18</w:t>
        <w:tab/>
        <w:t>WD6 = HE19-22</w:t>
      </w:r>
    </w:p>
    <w:p>
      <w:pPr>
        <w:pStyle w:val="BodyTextIndent"/>
        <w:ind w:firstLine="720" w:start="0" w:end="0"/>
        <w:rPr>
          <w:rFonts w:ascii="Arial" w:hAnsi="Arial" w:cs="Arial"/>
          <w:i/>
          <w:i/>
          <w:color w:val="FF0000"/>
          <w:sz w:val="18"/>
        </w:rPr>
      </w:pPr>
      <w:r>
        <w:rPr>
          <w:rFonts w:cs="Arial" w:ascii="Arial" w:hAnsi="Arial"/>
          <w:i/>
          <w:color w:val="FF0000"/>
          <w:sz w:val="18"/>
        </w:rPr>
        <w:t xml:space="preserve">*WE1-6 follows the same hourly divisions as the WD blocks.  </w:t>
      </w:r>
    </w:p>
    <w:p>
      <w:pPr>
        <w:pStyle w:val="Normal"/>
        <w:ind w:hanging="630" w:start="1350" w:end="0"/>
        <w:rPr>
          <w:rFonts w:ascii="Arial" w:hAnsi="Arial" w:cs="Arial"/>
          <w:i/>
          <w:i/>
          <w:color w:val="FF0000"/>
          <w:sz w:val="18"/>
        </w:rPr>
      </w:pPr>
      <w:r>
        <w:rPr>
          <w:rFonts w:cs="Arial" w:ascii="Arial" w:hAnsi="Arial"/>
          <w:i/>
          <w:color w:val="FF0000"/>
          <w:sz w:val="18"/>
        </w:rPr>
      </w:r>
    </w:p>
    <w:p>
      <w:pPr>
        <w:pStyle w:val="Heading1"/>
        <w:ind w:hanging="0" w:start="0"/>
        <w:rPr>
          <w:rFonts w:ascii="Arial" w:hAnsi="Arial" w:cs="Arial"/>
          <w:sz w:val="18"/>
        </w:rPr>
      </w:pPr>
      <w:r>
        <w:rPr>
          <w:rFonts w:cs="Arial" w:ascii="Arial" w:hAnsi="Arial"/>
          <w:sz w:val="18"/>
        </w:rPr>
        <w:t xml:space="preserve">Procedure </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Section A: Creating a 12x12</w:t>
      </w:r>
    </w:p>
    <w:p>
      <w:pPr>
        <w:pStyle w:val="Normal"/>
        <w:rPr>
          <w:rFonts w:ascii="Arial" w:hAnsi="Arial" w:cs="Arial"/>
          <w:b/>
          <w:sz w:val="18"/>
        </w:rPr>
      </w:pPr>
      <w:r>
        <w:rPr>
          <w:rFonts w:cs="Arial" w:ascii="Arial" w:hAnsi="Arial"/>
          <w:b/>
          <w:sz w:val="18"/>
        </w:rPr>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Download market-clearing prices for Non-spin, Spin, Regulation Up, Regulation Down, Replacement, and commodity MCP.  (CalISO Website)</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Download self provide and non-self provide load information for Non-spin, Spin, Regulation Up, Regulation Down, and Replacement. (CalISO Website)</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 xml:space="preserve">Calculate the sum of all A/S costs (β) for each hour. (For reference see R:\RISK_MGT\WEST\Ancillary Services\”DATA FILES”)  </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 xml:space="preserve">Filter data by month, then by WD/WE block.  Divide each hourly total A/S cost by the average monthly cost of generation to produce an A/S % of generation cost. </w:t>
      </w:r>
    </w:p>
    <w:p>
      <w:pPr>
        <w:pStyle w:val="Normal"/>
        <w:tabs>
          <w:tab w:val="clear" w:pos="720"/>
          <w:tab w:val="left" w:pos="1620" w:leader="none"/>
        </w:tabs>
        <w:ind w:start="1260" w:end="0"/>
        <w:jc w:val="both"/>
        <w:rPr/>
      </w:pPr>
      <w:r>
        <w:rPr>
          <w:rFonts w:cs="Arial" w:ascii="Arial" w:hAnsi="Arial"/>
          <w:color w:val="000000"/>
          <w:sz w:val="18"/>
        </w:rPr>
        <w:tab/>
        <w:t xml:space="preserve">                                                              </w:t>
      </w:r>
      <w:r>
        <w:rPr>
          <w:rFonts w:cs="Arial" w:ascii="Arial" w:hAnsi="Arial"/>
          <w:color w:val="000000"/>
          <w:sz w:val="18"/>
          <w:vertAlign w:val="subscript"/>
        </w:rPr>
        <w:t>n                                                                       n</w:t>
      </w:r>
    </w:p>
    <w:p>
      <w:pPr>
        <w:pStyle w:val="Normal"/>
        <w:tabs>
          <w:tab w:val="clear" w:pos="720"/>
          <w:tab w:val="left" w:pos="1620" w:leader="none"/>
        </w:tabs>
        <w:ind w:start="1260" w:end="-900"/>
        <w:jc w:val="both"/>
        <w:rPr/>
      </w:pPr>
      <w:r>
        <w:rPr>
          <w:rFonts w:cs="Arial" w:ascii="Arial" w:hAnsi="Arial"/>
          <w:color w:val="000000"/>
          <w:sz w:val="18"/>
        </w:rPr>
        <w:tab/>
        <w:t xml:space="preserve">Average Monthly Hour Block % = </w:t>
      </w:r>
      <w:r>
        <w:rPr>
          <w:rFonts w:eastAsia="Symbol" w:cs="Symbol" w:ascii="Symbol" w:hAnsi="Symbol"/>
          <w:color w:val="000000"/>
          <w:sz w:val="18"/>
        </w:rPr>
        <w:sym w:font="Symbol" w:char="f061"/>
      </w:r>
      <w:r>
        <w:rPr>
          <w:rFonts w:cs="Arial" w:ascii="Arial" w:hAnsi="Arial"/>
          <w:color w:val="000000"/>
          <w:sz w:val="18"/>
        </w:rPr>
        <w:t xml:space="preserve"> = [(</w:t>
      </w:r>
      <w:r>
        <w:rPr>
          <w:rFonts w:eastAsia="Symbol" w:cs="Symbol" w:ascii="Symbol" w:hAnsi="Symbol"/>
          <w:color w:val="000000"/>
          <w:sz w:val="18"/>
        </w:rPr>
        <w:sym w:font="Symbol" w:char="f053"/>
      </w:r>
      <w:r>
        <w:rPr>
          <w:rFonts w:cs="Arial" w:ascii="Arial" w:hAnsi="Arial"/>
          <w:color w:val="000000"/>
          <w:sz w:val="18"/>
        </w:rPr>
        <w:t>(AS MCP</w:t>
      </w:r>
      <w:r>
        <w:rPr>
          <w:rFonts w:cs="Arial" w:ascii="Arial" w:hAnsi="Arial"/>
          <w:color w:val="000000"/>
          <w:sz w:val="18"/>
          <w:vertAlign w:val="subscript"/>
        </w:rPr>
        <w:t xml:space="preserve">i </w:t>
      </w:r>
      <w:r>
        <w:rPr>
          <w:rFonts w:cs="Arial" w:ascii="Arial" w:hAnsi="Arial"/>
          <w:color w:val="000000"/>
          <w:sz w:val="18"/>
        </w:rPr>
        <w:t>x AS Demand</w:t>
      </w:r>
      <w:r>
        <w:rPr>
          <w:rFonts w:cs="Arial" w:ascii="Arial" w:hAnsi="Arial"/>
          <w:color w:val="000000"/>
          <w:sz w:val="18"/>
          <w:vertAlign w:val="subscript"/>
        </w:rPr>
        <w:t>I</w:t>
      </w:r>
      <w:r>
        <w:rPr>
          <w:rFonts w:cs="Arial" w:ascii="Arial" w:hAnsi="Arial"/>
          <w:color w:val="000000"/>
          <w:sz w:val="18"/>
        </w:rPr>
        <w:t>) / (</w:t>
      </w:r>
      <w:r>
        <w:rPr>
          <w:rFonts w:eastAsia="Symbol" w:cs="Symbol" w:ascii="Symbol" w:hAnsi="Symbol"/>
          <w:color w:val="000000"/>
          <w:sz w:val="18"/>
        </w:rPr>
        <w:sym w:font="Symbol" w:char="f053"/>
      </w:r>
      <w:r>
        <w:rPr>
          <w:rFonts w:cs="Arial" w:ascii="Arial" w:hAnsi="Arial"/>
          <w:color w:val="000000"/>
          <w:sz w:val="18"/>
        </w:rPr>
        <w:t>(GEN MCP</w:t>
      </w:r>
      <w:r>
        <w:rPr>
          <w:rFonts w:cs="Arial" w:ascii="Arial" w:hAnsi="Arial"/>
          <w:color w:val="000000"/>
          <w:sz w:val="18"/>
          <w:vertAlign w:val="subscript"/>
        </w:rPr>
        <w:t xml:space="preserve">i </w:t>
      </w:r>
      <w:r>
        <w:rPr>
          <w:rFonts w:cs="Arial" w:ascii="Arial" w:hAnsi="Arial"/>
          <w:color w:val="000000"/>
          <w:sz w:val="18"/>
        </w:rPr>
        <w:t>x GEN Demand</w:t>
      </w:r>
      <w:r>
        <w:rPr>
          <w:rFonts w:cs="Arial" w:ascii="Arial" w:hAnsi="Arial"/>
          <w:color w:val="000000"/>
          <w:sz w:val="18"/>
          <w:vertAlign w:val="subscript"/>
        </w:rPr>
        <w:t>I</w:t>
      </w:r>
      <w:r>
        <w:rPr>
          <w:rFonts w:cs="Arial" w:ascii="Arial" w:hAnsi="Arial"/>
          <w:color w:val="000000"/>
          <w:sz w:val="18"/>
        </w:rPr>
        <w:t>)/n)]</w:t>
      </w:r>
    </w:p>
    <w:p>
      <w:pPr>
        <w:pStyle w:val="Normal"/>
        <w:tabs>
          <w:tab w:val="clear" w:pos="720"/>
          <w:tab w:val="left" w:pos="1620" w:leader="none"/>
        </w:tabs>
        <w:ind w:start="1260" w:end="0"/>
        <w:jc w:val="both"/>
        <w:rPr>
          <w:rFonts w:ascii="Arial" w:hAnsi="Arial" w:cs="Arial"/>
          <w:sz w:val="18"/>
        </w:rPr>
      </w:pPr>
      <w:r>
        <w:rPr>
          <w:rFonts w:eastAsia="Arial" w:cs="Arial" w:ascii="Arial" w:hAnsi="Arial"/>
          <w:color w:val="000000"/>
          <w:sz w:val="18"/>
        </w:rPr>
        <w:t xml:space="preserve">                                                                     </w:t>
      </w:r>
      <w:r>
        <w:rPr>
          <w:rFonts w:cs="Arial" w:ascii="Arial" w:hAnsi="Arial"/>
          <w:color w:val="000000"/>
          <w:sz w:val="18"/>
          <w:vertAlign w:val="superscript"/>
        </w:rPr>
        <w:t>i =1                                                                  i =1</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Calculate the average cost of congestion in a Twelve-by-Twelve format.  The use of a pivot table will aid in the process.  The excel function can be modified to have months on the “Y” axis, “WD” and “WE” blocks on the “X” axis, and the average cost of congestion in each cell block. (For reference see R:\RISK_MGT\WEST\Ancillary Services\AS 12x12\)</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Determine the appropriate Bid-Mid and Offer-Mid Spreads. (For reference see R:\RISK_MGT\WEST\Ancillary Services\ASStdDevAnalysis\)</w:t>
      </w:r>
    </w:p>
    <w:p>
      <w:pPr>
        <w:pStyle w:val="Normal"/>
        <w:numPr>
          <w:ilvl w:val="0"/>
          <w:numId w:val="5"/>
        </w:numPr>
        <w:tabs>
          <w:tab w:val="clear" w:pos="720"/>
          <w:tab w:val="left" w:pos="2520" w:leader="none"/>
        </w:tabs>
        <w:ind w:hanging="360" w:start="1980" w:end="0"/>
        <w:rPr>
          <w:rFonts w:ascii="Arial" w:hAnsi="Arial" w:cs="Arial"/>
          <w:sz w:val="18"/>
        </w:rPr>
      </w:pPr>
      <w:r>
        <w:rPr>
          <w:rFonts w:cs="Arial" w:ascii="Arial" w:hAnsi="Arial"/>
          <w:sz w:val="18"/>
        </w:rPr>
        <w:t>For each month find the average cost of congestion for:</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 xml:space="preserve">WD1 and WD2 </w:t>
        <w:tab/>
        <w:tab/>
        <w:t>= “Weekday Off Peak”</w:t>
        <w:tab/>
        <w:tab/>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WE1 and WE2</w:t>
        <w:tab/>
        <w:tab/>
        <w:t>= “Weekend Off Peak”</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WD3, WD4, WD5 and WD6</w:t>
        <w:tab/>
        <w:t>= “Weekday On Peak”</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WE3, WE4, WE5 and WE6</w:t>
        <w:tab/>
        <w:t>= “Weekend On Peak”</w:t>
      </w:r>
    </w:p>
    <w:p>
      <w:pPr>
        <w:pStyle w:val="Normal"/>
        <w:numPr>
          <w:ilvl w:val="0"/>
          <w:numId w:val="5"/>
        </w:numPr>
        <w:tabs>
          <w:tab w:val="clear" w:pos="720"/>
          <w:tab w:val="left" w:pos="2520" w:leader="none"/>
        </w:tabs>
        <w:ind w:hanging="360" w:start="1980" w:end="0"/>
        <w:rPr>
          <w:rFonts w:ascii="Arial" w:hAnsi="Arial" w:cs="Arial"/>
          <w:sz w:val="18"/>
        </w:rPr>
      </w:pPr>
      <w:r>
        <w:rPr>
          <w:rFonts w:cs="Arial" w:ascii="Arial" w:hAnsi="Arial"/>
          <w:sz w:val="18"/>
        </w:rPr>
        <w:t>For each month find the standard deviation of congestion for:</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 xml:space="preserve">WD1 and WD2 </w:t>
        <w:tab/>
        <w:tab/>
        <w:t>= “Weekday Off Peak”</w:t>
        <w:tab/>
        <w:tab/>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WE1 and WE2</w:t>
        <w:tab/>
        <w:tab/>
        <w:t>= “Weekend Off Peak”</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WD3, WD4, WD5 and WD6</w:t>
        <w:tab/>
        <w:t>= “Weekday On Peak”</w:t>
      </w:r>
    </w:p>
    <w:p>
      <w:pPr>
        <w:pStyle w:val="Normal"/>
        <w:numPr>
          <w:ilvl w:val="0"/>
          <w:numId w:val="6"/>
        </w:numPr>
        <w:tabs>
          <w:tab w:val="clear" w:pos="720"/>
          <w:tab w:val="left" w:pos="2520" w:leader="none"/>
        </w:tabs>
        <w:ind w:hanging="360" w:start="2520" w:end="0"/>
        <w:rPr>
          <w:rFonts w:ascii="Arial" w:hAnsi="Arial" w:cs="Arial"/>
          <w:sz w:val="18"/>
        </w:rPr>
      </w:pPr>
      <w:r>
        <w:rPr>
          <w:rFonts w:cs="Arial" w:ascii="Arial" w:hAnsi="Arial"/>
          <w:sz w:val="18"/>
        </w:rPr>
        <w:t>WE3, WE4, WE5 and WE6</w:t>
        <w:tab/>
        <w:t>= “Weekend On Peak”</w:t>
      </w:r>
    </w:p>
    <w:p>
      <w:pPr>
        <w:pStyle w:val="Normal"/>
        <w:numPr>
          <w:ilvl w:val="0"/>
          <w:numId w:val="5"/>
        </w:numPr>
        <w:tabs>
          <w:tab w:val="clear" w:pos="720"/>
          <w:tab w:val="left" w:pos="2520" w:leader="none"/>
        </w:tabs>
        <w:ind w:hanging="360" w:start="1980" w:end="0"/>
        <w:rPr>
          <w:rFonts w:ascii="Arial" w:hAnsi="Arial" w:cs="Arial"/>
          <w:sz w:val="18"/>
        </w:rPr>
      </w:pPr>
      <w:r>
        <w:rPr>
          <w:rFonts w:cs="Arial" w:ascii="Arial" w:hAnsi="Arial"/>
          <w:sz w:val="18"/>
        </w:rPr>
        <w:t xml:space="preserve">Standardize each data point in the sample by comparing the recorded hourly dollar per megawatt cost of congestion to the proper sample mean and sample standard deviation. </w:t>
      </w:r>
    </w:p>
    <w:p>
      <w:pPr>
        <w:pStyle w:val="Normal"/>
        <w:ind w:firstLine="540" w:start="3060" w:end="0"/>
        <w:rPr/>
      </w:pPr>
      <w:r>
        <mc:AlternateContent>
          <mc:Choice Requires="wps">
            <w:drawing>
              <wp:anchor behindDoc="0" distT="0" distB="0" distL="114935" distR="114935" simplePos="0" locked="0" layoutInCell="1" allowOverlap="1" relativeHeight="2">
                <wp:simplePos x="0" y="0"/>
                <wp:positionH relativeFrom="column">
                  <wp:posOffset>2606040</wp:posOffset>
                </wp:positionH>
                <wp:positionV relativeFrom="paragraph">
                  <wp:posOffset>34290</wp:posOffset>
                </wp:positionV>
                <wp:extent cx="91440" cy="0"/>
                <wp:effectExtent l="0" t="5080" r="0" b="5080"/>
                <wp:wrapNone/>
                <wp:docPr id="1" name=""/>
                <a:graphic xmlns:a="http://schemas.openxmlformats.org/drawingml/2006/main">
                  <a:graphicData uri="http://schemas.microsoft.com/office/word/2010/wordprocessingShape">
                    <wps:wsp>
                      <wps:cNvSpPr/>
                      <wps:spPr>
                        <a:xfrm flipH="1">
                          <a:off x="0" y="0"/>
                          <a:ext cx="9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2pt,2.7pt" to="212.35pt,2.7pt" stroked="t" o:allowincell="f" style="position:absolute;flip:x">
                <v:stroke color="black" weight="9360" joinstyle="miter" endcap="flat"/>
                <v:fill o:detectmouseclick="t" on="false"/>
                <w10:wrap type="none"/>
              </v:line>
            </w:pict>
          </mc:Fallback>
        </mc:AlternateContent>
      </w:r>
      <w:r>
        <w:rPr>
          <w:rFonts w:cs="Arial" w:ascii="Arial" w:hAnsi="Arial"/>
          <w:sz w:val="18"/>
        </w:rPr>
        <w:t xml:space="preserve">Z = [( X – u) / </w:t>
      </w:r>
      <w:r>
        <w:rPr>
          <w:rFonts w:eastAsia="Symbol" w:cs="Symbol" w:ascii="Symbol" w:hAnsi="Symbol"/>
          <w:sz w:val="18"/>
        </w:rPr>
        <w:sym w:font="Symbol" w:char="f073"/>
      </w:r>
      <w:r>
        <w:rPr>
          <w:rFonts w:cs="Arial" w:ascii="Arial" w:hAnsi="Arial"/>
          <w:sz w:val="18"/>
        </w:rPr>
        <w:t>]</w:t>
      </w:r>
    </w:p>
    <w:p>
      <w:pPr>
        <w:pStyle w:val="Normal"/>
        <w:numPr>
          <w:ilvl w:val="0"/>
          <w:numId w:val="5"/>
        </w:numPr>
        <w:tabs>
          <w:tab w:val="clear" w:pos="720"/>
          <w:tab w:val="left" w:pos="2520" w:leader="none"/>
        </w:tabs>
        <w:ind w:hanging="360" w:start="1980" w:end="0"/>
        <w:rPr>
          <w:rFonts w:ascii="Arial" w:hAnsi="Arial" w:cs="Arial"/>
          <w:sz w:val="18"/>
        </w:rPr>
      </w:pPr>
      <w:r>
        <w:rPr>
          <w:rFonts w:cs="Arial" w:ascii="Arial" w:hAnsi="Arial"/>
          <w:sz w:val="18"/>
        </w:rPr>
        <w:t>For each month of Weekday/Weekend On Peak and Off Peak statistics graph the standardized data in a histogram format, and determine how far below the sample mean (a.k.a. Mid) the bid should be and how far above the sample mean the offer should be.</w:t>
      </w:r>
    </w:p>
    <w:p>
      <w:pPr>
        <w:pStyle w:val="Normal"/>
        <w:numPr>
          <w:ilvl w:val="0"/>
          <w:numId w:val="3"/>
        </w:numPr>
        <w:tabs>
          <w:tab w:val="clear" w:pos="720"/>
          <w:tab w:val="left" w:pos="1080" w:leader="none"/>
        </w:tabs>
        <w:ind w:hanging="360" w:start="1080" w:end="0"/>
        <w:rPr>
          <w:rFonts w:ascii="Arial" w:hAnsi="Arial" w:cs="Arial"/>
          <w:sz w:val="18"/>
        </w:rPr>
      </w:pPr>
      <w:r>
        <w:rPr>
          <w:rFonts w:cs="Arial" w:ascii="Arial" w:hAnsi="Arial"/>
          <w:sz w:val="18"/>
        </w:rPr>
        <w:t xml:space="preserve">Apply determined bid and offer standard deviations to the 12x4 computed in step 6a to produce bid and offer 12x12’s. </w:t>
      </w:r>
    </w:p>
    <w:p>
      <w:pPr>
        <w:pStyle w:val="Normal"/>
        <w:ind w:start="720" w:end="0"/>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Section B: Compensating 12x12’s for Current Market Conditions</w:t>
      </w:r>
    </w:p>
    <w:p>
      <w:pPr>
        <w:pStyle w:val="Normal"/>
        <w:rPr>
          <w:rFonts w:ascii="Arial" w:hAnsi="Arial" w:cs="Arial"/>
          <w:b/>
          <w:sz w:val="18"/>
        </w:rPr>
      </w:pPr>
      <w:r>
        <w:rPr>
          <w:rFonts w:cs="Arial" w:ascii="Arial" w:hAnsi="Arial"/>
          <w:b/>
          <w:sz w:val="18"/>
        </w:rPr>
      </w:r>
    </w:p>
    <w:p>
      <w:pPr>
        <w:pStyle w:val="Normal"/>
        <w:numPr>
          <w:ilvl w:val="0"/>
          <w:numId w:val="2"/>
        </w:numPr>
        <w:rPr>
          <w:rFonts w:ascii="Arial" w:hAnsi="Arial" w:cs="Arial"/>
          <w:b/>
          <w:sz w:val="18"/>
        </w:rPr>
      </w:pPr>
      <w:r>
        <w:rPr>
          <w:rFonts w:cs="Arial" w:ascii="Arial" w:hAnsi="Arial"/>
          <w:b/>
          <w:sz w:val="18"/>
        </w:rPr>
        <w:t>Purpose: Compare historical relationship to current market conditions.</w:t>
      </w:r>
    </w:p>
    <w:p>
      <w:pPr>
        <w:pStyle w:val="Normal"/>
        <w:numPr>
          <w:ilvl w:val="0"/>
          <w:numId w:val="2"/>
        </w:numPr>
        <w:rPr>
          <w:rFonts w:ascii="Arial" w:hAnsi="Arial" w:cs="Arial"/>
          <w:sz w:val="18"/>
        </w:rPr>
      </w:pPr>
      <w:r>
        <w:rPr>
          <w:rFonts w:cs="Arial" w:ascii="Arial" w:hAnsi="Arial"/>
          <w:b/>
          <w:sz w:val="18"/>
        </w:rPr>
        <w:t>Procedure:</w:t>
      </w:r>
    </w:p>
    <w:p>
      <w:pPr>
        <w:pStyle w:val="Normal"/>
        <w:numPr>
          <w:ilvl w:val="0"/>
          <w:numId w:val="8"/>
        </w:numPr>
        <w:tabs>
          <w:tab w:val="clear" w:pos="720"/>
          <w:tab w:val="left" w:pos="1080" w:leader="none"/>
        </w:tabs>
        <w:ind w:hanging="360" w:start="1080" w:end="0"/>
        <w:rPr>
          <w:rFonts w:ascii="Arial" w:hAnsi="Arial" w:cs="Arial"/>
          <w:sz w:val="18"/>
        </w:rPr>
      </w:pPr>
      <w:r>
        <w:rPr>
          <w:rFonts w:cs="Arial" w:ascii="Arial" w:hAnsi="Arial"/>
          <w:sz w:val="18"/>
        </w:rPr>
        <w:t>Compare the calculated historical relationship between the cost of ancillary services and the cost of generation to current relationships that exist in the wholesale market.</w:t>
      </w:r>
    </w:p>
    <w:p>
      <w:pPr>
        <w:pStyle w:val="Normal"/>
        <w:numPr>
          <w:ilvl w:val="0"/>
          <w:numId w:val="9"/>
        </w:numPr>
        <w:rPr>
          <w:rFonts w:ascii="Arial" w:hAnsi="Arial" w:cs="Arial"/>
          <w:sz w:val="18"/>
        </w:rPr>
      </w:pPr>
      <w:r>
        <w:rPr>
          <w:rFonts w:cs="Arial" w:ascii="Arial" w:hAnsi="Arial"/>
          <w:b/>
          <w:sz w:val="18"/>
        </w:rPr>
        <w:t>Conclusion:</w:t>
      </w:r>
    </w:p>
    <w:p>
      <w:pPr>
        <w:pStyle w:val="Normal"/>
        <w:numPr>
          <w:ilvl w:val="0"/>
          <w:numId w:val="12"/>
        </w:numPr>
        <w:tabs>
          <w:tab w:val="clear" w:pos="720"/>
          <w:tab w:val="left" w:pos="1080" w:leader="none"/>
        </w:tabs>
        <w:ind w:hanging="360" w:start="1080" w:end="0"/>
        <w:rPr>
          <w:rFonts w:ascii="Arial" w:hAnsi="Arial" w:cs="Arial"/>
          <w:sz w:val="18"/>
        </w:rPr>
      </w:pPr>
      <w:r>
        <w:rPr>
          <w:rFonts w:cs="Arial" w:ascii="Arial" w:hAnsi="Arial"/>
          <w:sz w:val="18"/>
        </w:rPr>
        <w:t>Lack of data in initial study for months January through April.</w:t>
      </w:r>
    </w:p>
    <w:p>
      <w:pPr>
        <w:pStyle w:val="Normal"/>
        <w:numPr>
          <w:ilvl w:val="0"/>
          <w:numId w:val="12"/>
        </w:numPr>
        <w:tabs>
          <w:tab w:val="clear" w:pos="720"/>
          <w:tab w:val="left" w:pos="1080" w:leader="none"/>
        </w:tabs>
        <w:ind w:hanging="360" w:start="1080" w:end="0"/>
        <w:rPr>
          <w:rFonts w:ascii="Arial" w:hAnsi="Arial" w:cs="Arial"/>
          <w:sz w:val="18"/>
        </w:rPr>
      </w:pPr>
      <w:r>
        <w:rPr>
          <w:rFonts w:cs="Arial" w:ascii="Arial" w:hAnsi="Arial"/>
          <w:sz w:val="18"/>
        </w:rPr>
        <w:t>The cost of ancillary services expressed as a percentage of the cost of generation increased significantly over the first four months of 2001 relative to 2000.</w:t>
      </w:r>
    </w:p>
    <w:p>
      <w:pPr>
        <w:pStyle w:val="Normal"/>
        <w:numPr>
          <w:ilvl w:val="0"/>
          <w:numId w:val="7"/>
        </w:numPr>
        <w:rPr>
          <w:rFonts w:ascii="Arial" w:hAnsi="Arial" w:cs="Arial"/>
          <w:sz w:val="18"/>
        </w:rPr>
      </w:pPr>
      <w:r>
        <w:rPr>
          <w:rFonts w:cs="Arial" w:ascii="Arial" w:hAnsi="Arial"/>
          <w:b/>
          <w:sz w:val="18"/>
        </w:rPr>
        <w:t>Curve Application:</w:t>
      </w:r>
    </w:p>
    <w:p>
      <w:pPr>
        <w:pStyle w:val="Normal"/>
        <w:numPr>
          <w:ilvl w:val="0"/>
          <w:numId w:val="10"/>
        </w:numPr>
        <w:tabs>
          <w:tab w:val="clear" w:pos="720"/>
          <w:tab w:val="left" w:pos="1080" w:leader="none"/>
        </w:tabs>
        <w:ind w:hanging="360" w:start="1080" w:end="0"/>
        <w:rPr>
          <w:rFonts w:ascii="Arial" w:hAnsi="Arial" w:cs="Arial"/>
          <w:sz w:val="18"/>
        </w:rPr>
      </w:pPr>
      <w:r>
        <w:rPr>
          <w:rFonts w:cs="Arial" w:ascii="Arial" w:hAnsi="Arial"/>
          <w:sz w:val="18"/>
        </w:rPr>
        <w:t>Increased the calculated percentage cost of generation to hedge out the risk exposure to ancillary services for all of 2001 and 2002.</w:t>
      </w:r>
    </w:p>
    <w:p>
      <w:pPr>
        <w:pStyle w:val="Normal"/>
        <w:numPr>
          <w:ilvl w:val="0"/>
          <w:numId w:val="10"/>
        </w:numPr>
        <w:tabs>
          <w:tab w:val="clear" w:pos="720"/>
          <w:tab w:val="left" w:pos="1080" w:leader="none"/>
        </w:tabs>
        <w:ind w:hanging="360" w:start="1080" w:end="0"/>
        <w:rPr>
          <w:rFonts w:ascii="Arial" w:hAnsi="Arial" w:cs="Arial"/>
          <w:sz w:val="18"/>
        </w:rPr>
      </w:pPr>
      <w:r>
        <w:rPr>
          <w:rFonts w:cs="Arial" w:ascii="Arial" w:hAnsi="Arial"/>
          <w:sz w:val="18"/>
        </w:rPr>
        <w:t xml:space="preserve">Post 2002 increased January through April.                                                     </w:t>
        <w:tab/>
      </w:r>
    </w:p>
    <w:p>
      <w:pPr>
        <w:pStyle w:val="BodyTextIndent3"/>
        <w:ind w:start="0" w:end="0"/>
        <w:rPr>
          <w:rFonts w:ascii="Arial" w:hAnsi="Arial" w:cs="Arial"/>
          <w:sz w:val="18"/>
        </w:rPr>
      </w:pPr>
      <w:r>
        <w:rPr>
          <w:rFonts w:cs="Arial" w:ascii="Arial" w:hAnsi="Arial"/>
          <w:sz w:val="18"/>
        </w:rPr>
      </w:r>
    </w:p>
    <w:p>
      <w:pPr>
        <w:pStyle w:val="Heading4"/>
        <w:ind w:hanging="0" w:start="0"/>
        <w:rPr/>
      </w:pPr>
      <w:r>
        <w:rPr/>
        <w:t xml:space="preserve">Moving Forward </w:t>
      </w:r>
    </w:p>
    <w:p>
      <w:pPr>
        <w:pStyle w:val="BodyTextIndent3"/>
        <w:rPr>
          <w:rFonts w:ascii="Arial" w:hAnsi="Arial" w:cs="Arial"/>
          <w:sz w:val="18"/>
        </w:rPr>
      </w:pPr>
      <w:r>
        <w:rPr>
          <w:rFonts w:cs="Arial" w:ascii="Arial" w:hAnsi="Arial"/>
          <w:sz w:val="18"/>
        </w:rPr>
      </w:r>
    </w:p>
    <w:p>
      <w:pPr>
        <w:pStyle w:val="BodyTextIndent3"/>
        <w:numPr>
          <w:ilvl w:val="0"/>
          <w:numId w:val="11"/>
        </w:numPr>
        <w:tabs>
          <w:tab w:val="clear" w:pos="720"/>
          <w:tab w:val="left" w:pos="1440" w:leader="none"/>
        </w:tabs>
        <w:ind w:hanging="360" w:start="1440" w:end="0"/>
        <w:rPr>
          <w:rFonts w:ascii="Arial" w:hAnsi="Arial" w:cs="Arial"/>
          <w:sz w:val="18"/>
        </w:rPr>
      </w:pPr>
      <w:r>
        <w:rPr>
          <w:rFonts w:cs="Arial" w:ascii="Arial" w:hAnsi="Arial"/>
          <w:sz w:val="18"/>
        </w:rPr>
        <w:t>The difference between the estimated amount of generation that must be purchased to hedge out EES’s risk exposure to the cost of purchasing ancillary services and the actual amount may differ over time.  The affects of the California Power Exchange becoming ill-liquid, price caps being imposed on the market, commodity prices being provided by Dow Jones, and the evolution of California’s electricity market have not been determined.  Thus, the findings of this study will need to be updated with actual market data as it arises in order to test the preciseness of claims.</w:t>
      </w:r>
    </w:p>
    <w:p>
      <w:pPr>
        <w:pStyle w:val="BodyTextIndent3"/>
        <w:numPr>
          <w:ilvl w:val="0"/>
          <w:numId w:val="11"/>
        </w:numPr>
        <w:tabs>
          <w:tab w:val="clear" w:pos="720"/>
          <w:tab w:val="left" w:pos="1440" w:leader="none"/>
        </w:tabs>
        <w:ind w:hanging="360" w:start="1440" w:end="0"/>
        <w:rPr>
          <w:rFonts w:ascii="Arial" w:hAnsi="Arial" w:cs="Arial"/>
          <w:sz w:val="18"/>
        </w:rPr>
      </w:pPr>
      <w:r>
        <w:rPr>
          <w:rFonts w:cs="Arial" w:ascii="Arial" w:hAnsi="Arial"/>
          <w:sz w:val="18"/>
        </w:rPr>
        <w:t xml:space="preserve">The procedures used here to calculate a dirty-hedge for ancillary services in the SP15 region are applicable to other regions throughout the United States.  However, the procedures will have to be tailored to accommodate the dynamics of the individual regions. </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1350" w:end="0"/>
      <w:outlineLvl w:val="1"/>
    </w:pPr>
    <w:rPr>
      <w:b/>
    </w:rPr>
  </w:style>
  <w:style w:type="paragraph" w:styleId="Heading3">
    <w:name w:val="heading 3"/>
    <w:basedOn w:val="Normal"/>
    <w:next w:val="Normal"/>
    <w:qFormat/>
    <w:pPr>
      <w:keepNext w:val="true"/>
      <w:numPr>
        <w:ilvl w:val="2"/>
        <w:numId w:val="1"/>
      </w:numPr>
      <w:ind w:hanging="0" w:start="720" w:end="0"/>
      <w:outlineLvl w:val="2"/>
    </w:pPr>
    <w:rPr>
      <w:rFonts w:ascii="Arial" w:hAnsi="Arial" w:cs="Arial"/>
      <w:b/>
      <w:sz w:val="18"/>
    </w:rPr>
  </w:style>
  <w:style w:type="paragraph" w:styleId="Heading4">
    <w:name w:val="heading 4"/>
    <w:basedOn w:val="Normal"/>
    <w:next w:val="Normal"/>
    <w:qFormat/>
    <w:pPr>
      <w:keepNext w:val="true"/>
      <w:numPr>
        <w:ilvl w:val="3"/>
        <w:numId w:val="1"/>
      </w:numPr>
      <w:outlineLvl w:val="3"/>
    </w:pPr>
    <w:rPr>
      <w:rFonts w:ascii="Arial" w:hAnsi="Arial" w:cs="Arial"/>
      <w:b/>
      <w:sz w:val="18"/>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7z0">
    <w:name w:val="WW8Num27z0"/>
    <w:qFormat/>
    <w:rPr>
      <w:sz w:val="16"/>
    </w:rPr>
  </w:style>
  <w:style w:type="character" w:styleId="WW8Num28z0">
    <w:name w:val="WW8Num28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DefinitionTerm">
    <w:name w:val="Definition Term"/>
    <w:basedOn w:val="Normal"/>
    <w:next w:val="DefinitionList"/>
    <w:qFormat/>
    <w:pPr/>
    <w:rPr>
      <w:sz w:val="24"/>
      <w:lang w:eastAsia="en-US"/>
    </w:rPr>
  </w:style>
  <w:style w:type="paragraph" w:styleId="DefinitionList">
    <w:name w:val="Definition List"/>
    <w:basedOn w:val="Normal"/>
    <w:next w:val="DefinitionTerm"/>
    <w:qFormat/>
    <w:pPr>
      <w:ind w:hanging="0" w:start="360" w:end="0"/>
    </w:pPr>
    <w:rPr>
      <w:sz w:val="24"/>
      <w:lang w:eastAsia="en-US"/>
    </w:rPr>
  </w:style>
  <w:style w:type="paragraph" w:styleId="BodyTextIndent">
    <w:name w:val="Body Text Indent"/>
    <w:basedOn w:val="Normal"/>
    <w:pPr>
      <w:ind w:hanging="0" w:start="135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108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2001-05-21T12:07:00Z</dcterms:created>
  <dc:creator>Timothy A. Coffing</dc:creator>
  <dc:description/>
  <dc:language>en-CA</dc:language>
  <cp:lastModifiedBy>dkang</cp:lastModifiedBy>
  <cp:lastPrinted>2001-05-21T09:41:00Z</cp:lastPrinted>
  <dcterms:modified xsi:type="dcterms:W3CDTF">2001-05-21T12:26:00Z</dcterms:modified>
  <cp:revision>4</cp:revision>
  <dc:subject/>
  <dc:title>Title – SP15 Ancillary Service Information</dc:title>
</cp:coreProperties>
</file>