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Waiver of Right To Participate</w:t>
      </w:r>
    </w:p>
    <w:p>
      <w:pPr>
        <w:pStyle w:val="Normal"/>
        <w:jc w:val="center"/>
        <w:rPr>
          <w:b/>
        </w:rPr>
      </w:pPr>
      <w:r>
        <w:rPr>
          <w:b/>
        </w:rPr>
        <w:t>in</w:t>
      </w:r>
    </w:p>
    <w:p>
      <w:pPr>
        <w:pStyle w:val="Normal"/>
        <w:jc w:val="center"/>
        <w:rPr>
          <w:b/>
        </w:rPr>
      </w:pPr>
      <w:r>
        <w:rPr>
          <w:b/>
        </w:rPr>
        <w:t>Proposed Offering</w:t>
      </w:r>
    </w:p>
    <w:p>
      <w:pPr>
        <w:pStyle w:val="Normal"/>
        <w:jc w:val="center"/>
        <w:rPr>
          <w:b/>
        </w:rPr>
      </w:pPr>
      <w:r>
        <w:rPr>
          <w:b/>
        </w:rPr>
        <w:t>of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Series C Convertible Participating Preferred Stock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 xml:space="preserve">The undersigned stockholder of Questia Media, Inc., a Delaware corporation (the “Company”), hereby (A) acknowledges receipt of a notice dated June 12, 2001 of such stockholder's right to participate in a proposed offering (the “Proposed Offering”) by the Company of 3,750,000 shares of the Company's authorized and unissued Series C Preferred Stock, par value $.001 per share, to a limited number of investors at a price of $3.8631 per share in a private placement transaction exempt from the registration requirements of the Securities Act of 1933, as amended, and (B) waives its rights to purchase shares of Series C Preferred Stock in its entirety with respect to the Proposed Offering.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Dated:</w:t>
        <w:tab/>
        <w:t>June __, 2001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SERIES B STOCKHOLDER: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105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>
                <w:u w:val="single"/>
              </w:rPr>
            </w:pPr>
            <w:r>
              <w:rPr/>
              <w:t>_________________________________________</w:t>
              <w:br/>
              <w:t>Joseph M. Schwartz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jc w:val="start"/>
              <w:rPr>
                <w:u w:val="single"/>
              </w:rPr>
            </w:pPr>
            <w:r>
              <w:rPr/>
              <w:t>__________________________________________</w:t>
              <w:br/>
              <w:t xml:space="preserve">Way Mac- Questia I LTD., </w:t>
              <w:br/>
              <w:t>By:  Peter M. Way</w:t>
              <w:br/>
              <w:t>Title: ____________________________</w:t>
              <w:br/>
              <w:t>Blanco Holdings, Inc. General Partner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>
                <w:u w:val="single"/>
              </w:rPr>
            </w:pPr>
            <w:r>
              <w:rPr/>
              <w:t>_________________________________________</w:t>
              <w:br/>
              <w:t>Ralph Perry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jc w:val="start"/>
              <w:rPr>
                <w:u w:val="single"/>
              </w:rPr>
            </w:pPr>
            <w:r>
              <w:rPr/>
              <w:t>_______________________________________</w:t>
              <w:br/>
              <w:t>Parsifal Investments, L.P.</w:t>
              <w:br/>
              <w:t xml:space="preserve">By: Alfred L. Deaton III, President </w:t>
              <w:br/>
              <w:t>PILP Corporation, General Partner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/>
            </w:pPr>
            <w:r>
              <w:rPr/>
              <w:t>________________________________________</w:t>
              <w:br/>
              <w:t>John Nash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 xml:space="preserve">Cypress Creek Properties Limited (Texas L.P.) </w:t>
              <w:br/>
              <w:t>By: Harry J. Glauser III</w:t>
              <w:br/>
              <w:t>Title:  General Partner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/>
            </w:pPr>
            <w:r>
              <w:rPr/>
              <w:t>__________________________________________</w:t>
              <w:br/>
              <w:t>H. Scott Caven Jr.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jc w:val="start"/>
              <w:rPr/>
            </w:pPr>
            <w:r>
              <w:rPr/>
              <w:t>_______________________________________</w:t>
              <w:br/>
              <w:t>William Leven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/>
            </w:pPr>
            <w:r>
              <w:rPr/>
              <w:t>__________________________________________</w:t>
              <w:br/>
              <w:t>Robert Vieau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</w:r>
          </w:p>
          <w:p>
            <w:pPr>
              <w:pStyle w:val="Normal"/>
              <w:spacing w:before="360" w:after="0"/>
              <w:jc w:val="start"/>
              <w:rPr/>
            </w:pPr>
            <w:r>
              <w:rPr/>
              <w:t>Steven M. Smith Family Limited Partnership,</w:t>
              <w:br/>
              <w:t>Steven M. Smith, General Partner</w:t>
            </w:r>
          </w:p>
        </w:tc>
      </w:tr>
    </w:tbl>
    <w:p>
      <w:pPr>
        <w:pStyle w:val="Normal"/>
        <w:jc w:val="start"/>
        <w:rPr/>
      </w:pPr>
      <w:r>
        <w:br w:type="page"/>
      </w:r>
      <w:r>
        <w:rPr/>
      </w:r>
    </w:p>
    <w:tbl>
      <w:tblPr>
        <w:tblW w:w="105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rPr/>
            </w:pPr>
            <w:r>
              <w:rPr/>
              <w:t>________________________________________</w:t>
              <w:br/>
              <w:t>John Gribi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Stellar Ventures, L.P.</w:t>
              <w:br/>
              <w:t>By:  Stellar Ventures Development Company, Inc. its</w:t>
              <w:br/>
              <w:t>General Partner, By:  Todd J. Zucker, its Vice President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Ullrich Family Revocable Living Trust U/A DTD 2-11-93</w:t>
              <w:br/>
              <w:t>By: Steve Ullrich and Eleanor A. Ullrich</w:t>
              <w:br/>
              <w:t>Title: Co-Trustees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Mark Williamson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Marvin Bowerman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Curran Holdings, Inc.</w:t>
              <w:br/>
              <w:t>By: Michael F. Curran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Nicholas L. Swyka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Mary Thompson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 xml:space="preserve">Roberts Revocable Living Trust </w:t>
              <w:br/>
              <w:t>By: Kenneth Roberts, Trustee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Wareing and Company,</w:t>
              <w:br/>
              <w:t>By: Peter S. Wareing</w:t>
              <w:br/>
              <w:t>Title: General Partner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</w:t>
              <w:br/>
              <w:t xml:space="preserve">Brenda &amp; John Duncan Group, LTD. </w:t>
              <w:br/>
              <w:t>By: John H. Duncan</w:t>
              <w:br/>
              <w:t>Title: General Partner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Clark L. Carrol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Spencer Ventures, LTD.</w:t>
              <w:br/>
              <w:t>By: Gregory Spencer</w:t>
              <w:br/>
              <w:t>Title: General Partner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Gene C. Cunningham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Jeff Skilling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Rebecca Carter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Robert R. Herrold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Murray Francois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Thomas F. Monroe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</w:t>
              <w:br/>
              <w:t>Kimberly Francois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Patricia D. Monroe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Richard Everett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Sidney S. McClendon III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</w:t>
              <w:br/>
              <w:t>Theodore G. Dimitry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</w:t>
              <w:br/>
              <w:t>Doug Alexander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Terry Kelley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</w:t>
              <w:br/>
              <w:t>B. Douglas Simpkins, Jr. &amp; Johnette T. Simkins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</w:t>
              <w:br/>
              <w:t>LAK Partnership</w:t>
              <w:br/>
              <w:t>By:  Leo Kistner</w:t>
            </w:r>
          </w:p>
        </w:tc>
      </w:tr>
      <w:tr>
        <w:trPr/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</w:t>
              <w:br/>
              <w:t>Margaret Anne Wilson</w:t>
            </w:r>
          </w:p>
        </w:tc>
        <w:tc>
          <w:tcPr>
            <w:tcW w:w="5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040" w:leader="none"/>
                <w:tab w:val="left" w:pos="5130" w:leader="none"/>
              </w:tabs>
              <w:autoSpaceDE w:val="false"/>
              <w:spacing w:before="360" w:after="0"/>
              <w:jc w:val="start"/>
              <w:rPr/>
            </w:pPr>
            <w:r>
              <w:rPr/>
              <w:t>__________________________________________</w:t>
              <w:br/>
              <w:t>Redrock Interests, Ltd. Shel Erikson, General Partner</w:t>
            </w:r>
          </w:p>
        </w:tc>
      </w:tr>
    </w:tbl>
    <w:p>
      <w:pPr>
        <w:pStyle w:val="Normal"/>
        <w:tabs>
          <w:tab w:val="clear" w:pos="720"/>
          <w:tab w:val="left" w:pos="5040" w:leader="none"/>
          <w:tab w:val="left" w:pos="5130" w:leader="none"/>
        </w:tabs>
        <w:autoSpaceDE w:val="false"/>
        <w:spacing w:before="240" w:after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5040" w:leader="none"/>
          <w:tab w:val="left" w:pos="5130" w:leader="none"/>
        </w:tabs>
        <w:autoSpaceDE w:val="false"/>
        <w:jc w:val="start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7398" w:leader="none"/>
          <w:tab w:val="left" w:pos="9338" w:leader="none"/>
        </w:tabs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152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Right to Participate Waiver – June 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050" w:leader="none"/>
        <w:tab w:val="left" w:pos="468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</w:tabs>
      <w:jc w:val="center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7398" w:leader="none"/>
        <w:tab w:val="left" w:pos="9338" w:leader="none"/>
      </w:tabs>
      <w:spacing w:before="0" w:after="600"/>
      <w:ind w:hanging="0" w:start="3591" w:end="0"/>
      <w:jc w:val="start"/>
      <w:outlineLvl w:val="7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clear" w:pos="720"/>
        <w:tab w:val="left" w:pos="7398" w:leader="none"/>
        <w:tab w:val="left" w:pos="9338" w:leader="none"/>
      </w:tabs>
      <w:spacing w:before="0" w:after="600"/>
      <w:ind w:hanging="0" w:start="3591" w:end="-309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2001-06-13T18:49:00Z</dcterms:created>
  <dc:creator>Baker &amp; Botts, L.L.P.</dc:creator>
  <dc:description>HOU03:779904.1</dc:description>
  <dc:language>en-CA</dc:language>
  <cp:lastModifiedBy>default</cp:lastModifiedBy>
  <cp:lastPrinted>2001-06-12T11:46:00Z</cp:lastPrinted>
  <dcterms:modified xsi:type="dcterms:W3CDTF">2001-06-19T02:29:00Z</dcterms:modified>
  <cp:revision>24</cp:revision>
  <dc:subject/>
  <dc:title>Questia Media,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Type">
    <vt:lpwstr>Letter (Draft)</vt:lpwstr>
  </property>
</Properties>
</file>