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SHIRLEY A. ISBELL</w:t>
      </w:r>
    </w:p>
    <w:p>
      <w:pPr>
        <w:pStyle w:val="Normal"/>
        <w:jc w:val="center"/>
        <w:rPr>
          <w:sz w:val="20"/>
        </w:rPr>
      </w:pPr>
      <w:r>
        <w:rPr>
          <w:sz w:val="20"/>
        </w:rPr>
      </w:r>
    </w:p>
    <w:p>
      <w:pPr>
        <w:pStyle w:val="Normal"/>
        <w:jc w:val="center"/>
        <w:rPr>
          <w:sz w:val="20"/>
        </w:rPr>
      </w:pPr>
      <w:r>
        <w:rPr>
          <w:sz w:val="20"/>
        </w:rPr>
        <w:t>12326 Scottsdale Drive, Meadows Place, Texas  77477</w:t>
      </w:r>
    </w:p>
    <w:p>
      <w:pPr>
        <w:pStyle w:val="Normal"/>
        <w:jc w:val="center"/>
        <w:rPr>
          <w:sz w:val="20"/>
        </w:rPr>
      </w:pPr>
      <w:r>
        <w:rPr>
          <w:sz w:val="20"/>
        </w:rPr>
        <w:t>(713) 345-7355-work and (281) 498-1984-home - shirleyisbell259@aol.com</w:t>
      </w:r>
    </w:p>
    <w:p>
      <w:pPr>
        <w:pStyle w:val="Normal"/>
        <w:rPr>
          <w:sz w:val="20"/>
          <w:lang w:val="en-CA"/>
        </w:rPr>
      </w:pPr>
      <w:r>
        <w:rPr>
          <w:sz w:val="20"/>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64135</wp:posOffset>
                </wp:positionV>
                <wp:extent cx="6858000" cy="0"/>
                <wp:effectExtent l="0" t="19050" r="0" b="19050"/>
                <wp:wrapNone/>
                <wp:docPr id="1" name=""/>
                <a:graphic xmlns:a="http://schemas.openxmlformats.org/drawingml/2006/main">
                  <a:graphicData uri="http://schemas.microsoft.com/office/word/2010/wordprocessingShape">
                    <wps:wsp>
                      <wps:cNvSpPr/>
                      <wps:spPr>
                        <a:xfrm>
                          <a:off x="0" y="0"/>
                          <a:ext cx="6858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05pt" to="539.95pt,5.05pt" stroked="t" o:allowincell="f" style="position:absolute">
                <v:stroke color="black" weight="38160" joinstyle="miter" endcap="flat"/>
                <v:fill o:detectmouseclick="t" on="false"/>
                <w10:wrap type="none"/>
              </v:line>
            </w:pict>
          </mc:Fallback>
        </mc:AlternateContent>
      </w:r>
    </w:p>
    <w:p>
      <w:pPr>
        <w:pStyle w:val="Normal"/>
        <w:rPr>
          <w:rFonts w:ascii="Arial Rounded MT Bold;Tahoma" w:hAnsi="Arial Rounded MT Bold;Tahoma" w:cs="Arial Rounded MT Bold;Tahoma"/>
        </w:rPr>
      </w:pPr>
      <w:r>
        <w:rPr>
          <w:rFonts w:cs="Arial Rounded MT Bold;Tahoma" w:ascii="Arial Rounded MT Bold;Tahoma" w:hAnsi="Arial Rounded MT Bold;Tahoma"/>
        </w:rPr>
        <w:t>OBJECTIVES</w:t>
      </w:r>
    </w:p>
    <w:p>
      <w:pPr>
        <w:pStyle w:val="Normal"/>
        <w:rPr>
          <w:rFonts w:ascii="Arial Rounded MT Bold;Tahoma" w:hAnsi="Arial Rounded MT Bold;Tahoma" w:cs="Arial Rounded MT Bold;Tahoma"/>
        </w:rPr>
      </w:pPr>
      <w:r>
        <w:rPr>
          <w:rFonts w:cs="Arial Rounded MT Bold;Tahoma" w:ascii="Arial Rounded MT Bold;Tahoma" w:hAnsi="Arial Rounded MT Bold;Tahoma"/>
        </w:rPr>
      </w:r>
    </w:p>
    <w:p>
      <w:pPr>
        <w:pStyle w:val="Normal"/>
        <w:rPr>
          <w:sz w:val="20"/>
        </w:rPr>
      </w:pPr>
      <w:r>
        <w:rPr>
          <w:sz w:val="20"/>
        </w:rPr>
        <w:t xml:space="preserve">Create a positive atmosphere so that excellence can be achieved.  Promote successful ideas and processes so that pertinent information will be retained and absorbed.  Coach, mentor, train, and counsel with teammates to produce over-achievers and forward-thinkers.  Communicate diversity, culture, goals and objectives.  Consistently search for knowledge to improve and share.  </w:t>
      </w:r>
    </w:p>
    <w:p>
      <w:pPr>
        <w:pStyle w:val="Normal"/>
        <w:rPr>
          <w:sz w:val="20"/>
        </w:rPr>
      </w:pPr>
      <w:r>
        <w:rPr>
          <w:sz w:val="20"/>
        </w:rPr>
      </w:r>
    </w:p>
    <w:p>
      <w:pPr>
        <w:pStyle w:val="Normal"/>
        <w:rPr>
          <w:rFonts w:ascii="Arial Rounded MT Bold;Tahoma" w:hAnsi="Arial Rounded MT Bold;Tahoma" w:cs="Arial Rounded MT Bold;Tahoma"/>
        </w:rPr>
      </w:pPr>
      <w:r>
        <w:rPr>
          <w:rFonts w:cs="Arial Rounded MT Bold;Tahoma" w:ascii="Arial Rounded MT Bold;Tahoma" w:hAnsi="Arial Rounded MT Bold;Tahoma"/>
        </w:rPr>
        <w:t>EMPLOYMENT HISTORY</w:t>
      </w:r>
    </w:p>
    <w:p>
      <w:pPr>
        <w:pStyle w:val="Normal"/>
        <w:tabs>
          <w:tab w:val="clear" w:pos="720"/>
          <w:tab w:val="left" w:pos="1440" w:leader="none"/>
        </w:tabs>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clear" w:pos="720"/>
          <w:tab w:val="left" w:pos="2160" w:leader="none"/>
        </w:tabs>
        <w:rPr/>
      </w:pPr>
      <w:r>
        <w:rPr>
          <w:b/>
          <w:sz w:val="20"/>
        </w:rPr>
        <w:t>HOUSTON, TEXAS</w:t>
      </w:r>
      <w:r>
        <w:rPr>
          <w:sz w:val="20"/>
        </w:rPr>
        <w:tab/>
        <w:t>EXECUTIVE ADMINISTRATIVE COORDINATOR</w:t>
      </w:r>
    </w:p>
    <w:p>
      <w:pPr>
        <w:pStyle w:val="Normal"/>
        <w:tabs>
          <w:tab w:val="clear" w:pos="720"/>
          <w:tab w:val="left" w:pos="2160" w:leader="none"/>
        </w:tabs>
        <w:rPr>
          <w:sz w:val="20"/>
        </w:rPr>
      </w:pPr>
      <w:r>
        <w:rPr>
          <w:sz w:val="20"/>
        </w:rPr>
      </w:r>
    </w:p>
    <w:p>
      <w:pPr>
        <w:pStyle w:val="Normal"/>
        <w:tabs>
          <w:tab w:val="clear" w:pos="720"/>
          <w:tab w:val="left" w:pos="2160" w:leader="none"/>
        </w:tabs>
        <w:ind w:hanging="2160" w:start="2160" w:end="0"/>
        <w:rPr>
          <w:sz w:val="20"/>
        </w:rPr>
      </w:pPr>
      <w:r>
        <w:rPr>
          <w:sz w:val="20"/>
        </w:rPr>
        <w:tab/>
        <w:t>Excellent transitional experience during mergers and acquisitions in various executive administrative, legal, facilities, accounting, banking, etc, positions contract and permanent at the following companies:</w:t>
      </w:r>
    </w:p>
    <w:p>
      <w:pPr>
        <w:pStyle w:val="Normal"/>
        <w:tabs>
          <w:tab w:val="clear" w:pos="720"/>
          <w:tab w:val="left" w:pos="1440" w:leader="none"/>
        </w:tabs>
        <w:ind w:hanging="1440" w:start="1440" w:end="0"/>
        <w:rPr>
          <w:sz w:val="20"/>
        </w:rPr>
      </w:pPr>
      <w:r>
        <w:rPr>
          <w:sz w:val="20"/>
        </w:rPr>
        <w:tab/>
      </w:r>
    </w:p>
    <w:p>
      <w:pPr>
        <w:pStyle w:val="Normal"/>
        <w:tabs>
          <w:tab w:val="clear" w:pos="720"/>
          <w:tab w:val="left" w:pos="1440" w:leader="none"/>
        </w:tabs>
        <w:ind w:hanging="1440" w:start="1440" w:end="0"/>
        <w:rPr>
          <w:sz w:val="20"/>
        </w:rPr>
      </w:pPr>
      <w:r>
        <w:rPr>
          <w:sz w:val="20"/>
        </w:rPr>
        <w:tab/>
        <w:tab/>
        <w:t>Enron Broadband Services, Inc. – Office of General Counsel</w:t>
      </w:r>
    </w:p>
    <w:p>
      <w:pPr>
        <w:pStyle w:val="Normal"/>
        <w:tabs>
          <w:tab w:val="clear" w:pos="720"/>
          <w:tab w:val="left" w:pos="1440" w:leader="none"/>
        </w:tabs>
        <w:ind w:hanging="1440" w:start="1440" w:end="0"/>
        <w:rPr>
          <w:sz w:val="20"/>
        </w:rPr>
      </w:pPr>
      <w:r>
        <w:rPr>
          <w:sz w:val="20"/>
        </w:rPr>
        <w:tab/>
        <w:tab/>
        <w:t>Enron Corp. - Office of General Counsel</w:t>
      </w:r>
    </w:p>
    <w:p>
      <w:pPr>
        <w:pStyle w:val="Normal"/>
        <w:tabs>
          <w:tab w:val="clear" w:pos="720"/>
          <w:tab w:val="left" w:pos="1440" w:leader="none"/>
        </w:tabs>
        <w:ind w:hanging="1440" w:start="1440" w:end="0"/>
        <w:rPr>
          <w:sz w:val="20"/>
        </w:rPr>
      </w:pPr>
      <w:r>
        <w:rPr>
          <w:sz w:val="20"/>
        </w:rPr>
        <w:tab/>
        <w:tab/>
        <w:t>Sanders Morris Harris – Industrial Investment Banking</w:t>
      </w:r>
    </w:p>
    <w:p>
      <w:pPr>
        <w:pStyle w:val="Normal"/>
        <w:tabs>
          <w:tab w:val="clear" w:pos="720"/>
          <w:tab w:val="left" w:pos="1440" w:leader="none"/>
        </w:tabs>
        <w:ind w:hanging="1440" w:start="1440" w:end="0"/>
        <w:rPr>
          <w:sz w:val="20"/>
        </w:rPr>
      </w:pPr>
      <w:r>
        <w:rPr>
          <w:sz w:val="20"/>
        </w:rPr>
        <w:tab/>
        <w:tab/>
        <w:t>Dynegy Inc. – Office of the Chairman</w:t>
      </w:r>
    </w:p>
    <w:p>
      <w:pPr>
        <w:pStyle w:val="Normal"/>
        <w:tabs>
          <w:tab w:val="clear" w:pos="720"/>
          <w:tab w:val="left" w:pos="1440" w:leader="none"/>
        </w:tabs>
        <w:ind w:hanging="1440" w:start="1440" w:end="0"/>
        <w:rPr>
          <w:sz w:val="20"/>
        </w:rPr>
      </w:pPr>
      <w:r>
        <w:rPr>
          <w:sz w:val="20"/>
        </w:rPr>
        <w:tab/>
        <w:tab/>
        <w:t>Kinder Morgan – Contract Administration</w:t>
      </w:r>
    </w:p>
    <w:p>
      <w:pPr>
        <w:pStyle w:val="Normal"/>
        <w:tabs>
          <w:tab w:val="clear" w:pos="720"/>
          <w:tab w:val="left" w:pos="1440" w:leader="none"/>
        </w:tabs>
        <w:ind w:hanging="1440" w:start="1440" w:end="0"/>
        <w:rPr>
          <w:sz w:val="20"/>
        </w:rPr>
      </w:pPr>
      <w:r>
        <w:rPr>
          <w:sz w:val="20"/>
        </w:rPr>
        <w:tab/>
        <w:tab/>
        <w:t>KN Energy Marketing – Trade Room Coordinator</w:t>
      </w:r>
    </w:p>
    <w:p>
      <w:pPr>
        <w:pStyle w:val="Normal"/>
        <w:tabs>
          <w:tab w:val="clear" w:pos="720"/>
          <w:tab w:val="left" w:pos="1440" w:leader="none"/>
        </w:tabs>
        <w:ind w:hanging="1440" w:start="1440" w:end="0"/>
        <w:rPr>
          <w:sz w:val="20"/>
        </w:rPr>
      </w:pPr>
      <w:r>
        <w:rPr>
          <w:sz w:val="20"/>
        </w:rPr>
        <w:tab/>
        <w:tab/>
        <w:t>KN Energy, Inc. – Office of the Vice Chairman</w:t>
      </w:r>
    </w:p>
    <w:p>
      <w:pPr>
        <w:pStyle w:val="Normal"/>
        <w:tabs>
          <w:tab w:val="clear" w:pos="720"/>
          <w:tab w:val="left" w:pos="1440" w:leader="none"/>
        </w:tabs>
        <w:ind w:hanging="1440" w:start="1440" w:end="0"/>
        <w:rPr>
          <w:sz w:val="20"/>
        </w:rPr>
      </w:pPr>
      <w:r>
        <w:rPr>
          <w:sz w:val="20"/>
        </w:rPr>
        <w:tab/>
        <w:tab/>
        <w:t>MidCon Corp. – Office of the Chairman</w:t>
      </w:r>
    </w:p>
    <w:p>
      <w:pPr>
        <w:pStyle w:val="Normal"/>
        <w:tabs>
          <w:tab w:val="clear" w:pos="720"/>
          <w:tab w:val="left" w:pos="1440" w:leader="none"/>
        </w:tabs>
        <w:ind w:hanging="1440" w:start="1440" w:end="0"/>
        <w:rPr>
          <w:sz w:val="20"/>
        </w:rPr>
      </w:pPr>
      <w:r>
        <w:rPr>
          <w:sz w:val="20"/>
        </w:rPr>
        <w:tab/>
        <w:tab/>
        <w:t>Occidental Petroleum Corporation – Office of the Sr. Vice President &amp; Board Member</w:t>
      </w:r>
    </w:p>
    <w:p>
      <w:pPr>
        <w:pStyle w:val="Normal"/>
        <w:tabs>
          <w:tab w:val="clear" w:pos="720"/>
          <w:tab w:val="left" w:pos="1440" w:leader="none"/>
        </w:tabs>
        <w:ind w:hanging="1440" w:start="1440" w:end="0"/>
        <w:rPr>
          <w:sz w:val="20"/>
        </w:rPr>
      </w:pPr>
      <w:r>
        <w:rPr>
          <w:sz w:val="20"/>
        </w:rPr>
        <w:tab/>
        <w:tab/>
        <w:t>Golden Oil Company – Office of the Chairman</w:t>
      </w:r>
    </w:p>
    <w:p>
      <w:pPr>
        <w:pStyle w:val="Normal"/>
        <w:tabs>
          <w:tab w:val="clear" w:pos="720"/>
          <w:tab w:val="left" w:pos="2160" w:leader="none"/>
        </w:tabs>
        <w:ind w:hanging="1440" w:start="1440" w:end="0"/>
        <w:rPr>
          <w:sz w:val="20"/>
        </w:rPr>
      </w:pPr>
      <w:r>
        <w:rPr>
          <w:sz w:val="20"/>
        </w:rPr>
        <w:tab/>
        <w:tab/>
        <w:t>Corporate Care – Office of the Chairman</w:t>
      </w:r>
    </w:p>
    <w:p>
      <w:pPr>
        <w:pStyle w:val="Normal"/>
        <w:tabs>
          <w:tab w:val="clear" w:pos="720"/>
          <w:tab w:val="left" w:pos="2160" w:leader="none"/>
        </w:tabs>
        <w:ind w:hanging="1440" w:start="1440" w:end="0"/>
        <w:rPr>
          <w:sz w:val="20"/>
        </w:rPr>
      </w:pPr>
      <w:r>
        <w:rPr>
          <w:sz w:val="20"/>
        </w:rPr>
        <w:tab/>
        <w:tab/>
        <w:t>Dunkum Mortgage Group – Office of the Chairman</w:t>
      </w:r>
    </w:p>
    <w:p>
      <w:pPr>
        <w:pStyle w:val="Normal"/>
        <w:tabs>
          <w:tab w:val="clear" w:pos="720"/>
          <w:tab w:val="left" w:pos="2160" w:leader="none"/>
        </w:tabs>
        <w:ind w:hanging="1440" w:start="1440" w:end="0"/>
        <w:rPr>
          <w:sz w:val="20"/>
        </w:rPr>
      </w:pPr>
      <w:r>
        <w:rPr>
          <w:sz w:val="20"/>
        </w:rPr>
        <w:tab/>
        <w:tab/>
        <w:t>Smith Realty Advisors – Office of the President</w:t>
      </w:r>
    </w:p>
    <w:p>
      <w:pPr>
        <w:pStyle w:val="Normal"/>
        <w:tabs>
          <w:tab w:val="clear" w:pos="720"/>
          <w:tab w:val="left" w:pos="2160" w:leader="none"/>
        </w:tabs>
        <w:ind w:hanging="1440" w:start="1440" w:end="0"/>
        <w:rPr>
          <w:sz w:val="20"/>
        </w:rPr>
      </w:pPr>
      <w:r>
        <w:rPr>
          <w:sz w:val="20"/>
        </w:rPr>
        <w:tab/>
        <w:tab/>
        <w:t>Newman Engineered Equipment – Office of the President</w:t>
      </w:r>
    </w:p>
    <w:p>
      <w:pPr>
        <w:pStyle w:val="Normal"/>
        <w:tabs>
          <w:tab w:val="clear" w:pos="720"/>
          <w:tab w:val="left" w:pos="2160" w:leader="none"/>
        </w:tabs>
        <w:ind w:hanging="1440" w:start="1440" w:end="0"/>
        <w:rPr>
          <w:sz w:val="20"/>
        </w:rPr>
      </w:pPr>
      <w:r>
        <w:rPr>
          <w:sz w:val="20"/>
        </w:rPr>
        <w:tab/>
        <w:tab/>
        <w:t>VWR Scientific – Office of the Senior Vice President</w:t>
      </w:r>
    </w:p>
    <w:p>
      <w:pPr>
        <w:pStyle w:val="Normal"/>
        <w:tabs>
          <w:tab w:val="clear" w:pos="720"/>
          <w:tab w:val="left" w:pos="2160" w:leader="none"/>
        </w:tabs>
        <w:ind w:hanging="1440" w:start="1440" w:end="0"/>
        <w:rPr>
          <w:sz w:val="20"/>
        </w:rPr>
      </w:pPr>
      <w:r>
        <w:rPr>
          <w:sz w:val="20"/>
        </w:rPr>
        <w:tab/>
        <w:tab/>
        <w:t>Spaw-Glass – Senior Project Manager</w:t>
      </w:r>
    </w:p>
    <w:p>
      <w:pPr>
        <w:pStyle w:val="Normal"/>
        <w:tabs>
          <w:tab w:val="clear" w:pos="720"/>
          <w:tab w:val="left" w:pos="2160" w:leader="none"/>
        </w:tabs>
        <w:ind w:hanging="1440" w:start="1440" w:end="0"/>
        <w:rPr>
          <w:sz w:val="20"/>
        </w:rPr>
      </w:pPr>
      <w:r>
        <w:rPr>
          <w:sz w:val="20"/>
        </w:rPr>
        <w:tab/>
        <w:tab/>
        <w:t>Hudson/McDermott Offshore Engineering – Office of the Controller</w:t>
      </w:r>
    </w:p>
    <w:p>
      <w:pPr>
        <w:pStyle w:val="Normal"/>
        <w:tabs>
          <w:tab w:val="clear" w:pos="720"/>
          <w:tab w:val="left" w:pos="2160" w:leader="none"/>
        </w:tabs>
        <w:ind w:hanging="1440" w:start="1440" w:end="0"/>
        <w:rPr>
          <w:sz w:val="20"/>
        </w:rPr>
      </w:pPr>
      <w:r>
        <w:rPr>
          <w:sz w:val="20"/>
        </w:rPr>
        <w:tab/>
        <w:tab/>
        <w:t>U.S. Department of Energy – Office of Special Counsel</w:t>
      </w:r>
    </w:p>
    <w:p>
      <w:pPr>
        <w:pStyle w:val="Normal"/>
        <w:tabs>
          <w:tab w:val="clear" w:pos="720"/>
          <w:tab w:val="left" w:pos="2160" w:leader="none"/>
        </w:tabs>
        <w:ind w:hanging="1440" w:start="1440" w:end="0"/>
        <w:rPr>
          <w:sz w:val="20"/>
        </w:rPr>
      </w:pPr>
      <w:r>
        <w:rPr>
          <w:sz w:val="20"/>
        </w:rPr>
        <w:tab/>
        <w:tab/>
        <w:t>U.S. Department of Treasury – Office of the Commissioner</w:t>
      </w:r>
    </w:p>
    <w:p>
      <w:pPr>
        <w:pStyle w:val="Normal"/>
        <w:tabs>
          <w:tab w:val="left" w:pos="720" w:leader="none"/>
          <w:tab w:val="left" w:pos="1440" w:leader="none"/>
          <w:tab w:val="left" w:pos="2160" w:leader="none"/>
          <w:tab w:val="left" w:pos="2880" w:leader="none"/>
          <w:tab w:val="left" w:pos="3600" w:leader="none"/>
        </w:tabs>
        <w:ind w:hanging="2880" w:start="2880" w:end="0"/>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left" w:pos="720" w:leader="none"/>
          <w:tab w:val="left" w:pos="1440" w:leader="none"/>
          <w:tab w:val="left" w:pos="2160" w:leader="none"/>
          <w:tab w:val="left" w:pos="2880" w:leader="none"/>
          <w:tab w:val="left" w:pos="3600" w:leader="none"/>
        </w:tabs>
        <w:ind w:hanging="2880" w:start="2880" w:end="0"/>
        <w:rPr/>
      </w:pPr>
      <w:r>
        <w:rPr>
          <w:rFonts w:cs="Arial Rounded MT Bold;Tahoma" w:ascii="Arial Rounded MT Bold;Tahoma" w:hAnsi="Arial Rounded MT Bold;Tahoma"/>
        </w:rPr>
        <w:t>SKILLS:</w:t>
        <w:tab/>
      </w:r>
      <w:r>
        <w:rPr>
          <w:sz w:val="20"/>
        </w:rPr>
        <w:t>Typing Speed:</w:t>
        <w:tab/>
        <w:t xml:space="preserve">120 words per minute, dictation machines </w:t>
      </w:r>
    </w:p>
    <w:p>
      <w:pPr>
        <w:pStyle w:val="Normal"/>
        <w:tabs>
          <w:tab w:val="clear" w:pos="720"/>
          <w:tab w:val="left" w:pos="1440" w:leader="none"/>
        </w:tabs>
        <w:ind w:hanging="1440" w:start="1440" w:end="0"/>
        <w:rPr>
          <w:sz w:val="20"/>
        </w:rPr>
      </w:pPr>
      <w:r>
        <w:rPr>
          <w:sz w:val="20"/>
        </w:rPr>
        <w:tab/>
        <w:t>PC Experience:</w:t>
        <w:tab/>
        <w:t>IBM, Apple, Compaq, various configurations.</w:t>
      </w:r>
    </w:p>
    <w:p>
      <w:pPr>
        <w:pStyle w:val="Normal"/>
        <w:tabs>
          <w:tab w:val="clear" w:pos="720"/>
          <w:tab w:val="left" w:pos="1440" w:leader="none"/>
        </w:tabs>
        <w:ind w:hanging="2880" w:start="2880" w:end="0"/>
        <w:rPr>
          <w:rFonts w:ascii="Arial Rounded MT Bold;Tahoma" w:hAnsi="Arial Rounded MT Bold;Tahoma" w:cs="Arial Rounded MT Bold;Tahoma"/>
        </w:rPr>
      </w:pPr>
      <w:r>
        <w:rPr>
          <w:sz w:val="20"/>
        </w:rPr>
        <w:tab/>
        <w:t>Software:</w:t>
        <w:tab/>
        <w:t>Latest versions of:  Word, Excel, PowerPoint, Act, Lotus, WordPerfect, Windows, Office, Access, Outlook, TransEnergy, UNIX, Visio, facilities, accounting, customer service, litigation, banking and servicing databases, etc.</w:t>
        <w:tab/>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t>MARITAL STATUS:</w:t>
        <w:tab/>
      </w:r>
      <w:r>
        <w:rPr>
          <w:sz w:val="20"/>
        </w:rPr>
        <w:t>Married, two sons</w:t>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pPr>
      <w:r>
        <w:rPr>
          <w:rFonts w:cs="Arial Rounded MT Bold;Tahoma" w:ascii="Arial Rounded MT Bold;Tahoma" w:hAnsi="Arial Rounded MT Bold;Tahoma"/>
        </w:rPr>
        <w:t>SPECIAL INTEREST:</w:t>
        <w:tab/>
      </w:r>
      <w:r>
        <w:rPr>
          <w:sz w:val="20"/>
        </w:rPr>
        <w:t>Children’s Story Writer, Gourmet Cooking, Youth Board Member, Teacher, TX Scholars Program</w:t>
      </w:r>
    </w:p>
    <w:p>
      <w:pPr>
        <w:pStyle w:val="Normal"/>
        <w:tabs>
          <w:tab w:val="clear" w:pos="720"/>
          <w:tab w:val="left" w:pos="1440" w:leader="none"/>
        </w:tabs>
        <w:ind w:hanging="1440" w:start="1440" w:end="0"/>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t>EDUCATION:</w:t>
        <w:tab/>
        <w:tab/>
      </w:r>
      <w:r>
        <w:rPr>
          <w:sz w:val="20"/>
        </w:rPr>
        <w:t>Various Courses of Continuing Education</w:t>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pPr>
      <w:r>
        <w:rPr>
          <w:rFonts w:cs="Arial Rounded MT Bold;Tahoma" w:ascii="Arial Rounded MT Bold;Tahoma" w:hAnsi="Arial Rounded MT Bold;Tahoma"/>
        </w:rPr>
        <w:t>REFERENCES:</w:t>
        <w:tab/>
      </w:r>
      <w:r>
        <w:rPr>
          <w:rFonts w:cs="Arial Rounded MT Bold;Tahoma" w:ascii="Arial Rounded MT Bold;Tahoma" w:hAnsi="Arial Rounded MT Bold;Tahoma"/>
          <w:sz w:val="20"/>
        </w:rPr>
        <w:t>Provided Upon Request</w:t>
      </w:r>
      <w:r>
        <w:rPr>
          <w:sz w:val="20"/>
        </w:rPr>
        <w:tab/>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altName w:val="Tahoma"/>
    <w:charset w:val="00" w:characterSet="windows-1252"/>
    <w:family w:val="swiss"/>
    <w:pitch w:val="variable"/>
  </w:font>
</w:fonts>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Rounded MT Bold;Tahoma" w:hAnsi="Arial Rounded MT Bold;Tahoma" w:cs="Arial Rounded MT Bold;Tahoma"/>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2001-04-05T12:46:00Z</dcterms:created>
  <dc:creator>Shirley Isbell</dc:creator>
  <dc:description/>
  <dc:language>en-CA</dc:language>
  <cp:lastModifiedBy>super_del</cp:lastModifiedBy>
  <cp:lastPrinted>2001-04-05T11:28:00Z</cp:lastPrinted>
  <dcterms:modified xsi:type="dcterms:W3CDTF">2001-04-05T14:04:00Z</dcterms:modified>
  <cp:revision>6</cp:revision>
  <dc:subject/>
  <dc:title>SHIRLEY A. ISBELL</dc:title>
</cp:coreProperties>
</file>