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Header"/>
              <w:tabs>
                <w:tab w:val="clear" w:pos="4320"/>
                <w:tab w:val="clear" w:pos="8640"/>
              </w:tabs>
              <w:rPr/>
            </w:pPr>
            <w:r>
              <w:rPr/>
              <w:drawing>
                <wp:inline distT="0" distB="0" distL="0" distR="0">
                  <wp:extent cx="913765"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3765" cy="914400"/>
                          </a:xfrm>
                          <a:prstGeom prst="rect">
                            <a:avLst/>
                          </a:prstGeom>
                          <a:noFill/>
                        </pic:spPr>
                      </pic:pic>
                    </a:graphicData>
                  </a:graphic>
                </wp:inline>
              </w:drawing>
            </w:r>
          </w:p>
        </w:tc>
        <w:tc>
          <w:tcPr>
            <w:tcW w:w="7740" w:type="dxa"/>
            <w:tcBorders/>
          </w:tcPr>
          <w:p>
            <w:pPr>
              <w:pStyle w:val="Heading"/>
              <w:ind w:start="4392" w:end="0"/>
              <w:rPr/>
            </w:pPr>
            <w:r>
              <w:rPr>
                <w:bCs/>
                <w:sz w:val="18"/>
              </w:rPr>
              <w:br/>
              <w:t>Enron Power Marketing, Inc</w:t>
            </w:r>
            <w:r>
              <w:rPr>
                <w:b w:val="false"/>
                <w:sz w:val="18"/>
              </w:rPr>
              <w:t>.</w:t>
            </w:r>
          </w:p>
          <w:p>
            <w:pPr>
              <w:pStyle w:val="Heading"/>
              <w:ind w:start="4392" w:end="0"/>
              <w:rPr>
                <w:b w:val="false"/>
                <w:sz w:val="16"/>
              </w:rPr>
            </w:pPr>
            <w:r>
              <w:rPr>
                <w:b w:val="false"/>
                <w:sz w:val="16"/>
              </w:rPr>
              <w:t xml:space="preserve">1400 Smith St.  (77002)    </w:t>
            </w:r>
          </w:p>
          <w:p>
            <w:pPr>
              <w:pStyle w:val="Heading"/>
              <w:ind w:start="4392" w:end="0"/>
              <w:rPr>
                <w:b w:val="false"/>
                <w:sz w:val="16"/>
              </w:rPr>
            </w:pPr>
            <w:r>
              <w:rPr>
                <w:b w:val="false"/>
                <w:sz w:val="16"/>
              </w:rPr>
              <w:t>P.O. Box 4428</w:t>
            </w:r>
          </w:p>
          <w:p>
            <w:pPr>
              <w:pStyle w:val="Normal"/>
              <w:ind w:start="4392" w:end="0"/>
              <w:rPr>
                <w:rFonts w:ascii="Arial" w:hAnsi="Arial" w:cs="Arial"/>
                <w:sz w:val="16"/>
              </w:rPr>
            </w:pPr>
            <w:r>
              <w:rPr>
                <w:rFonts w:cs="Arial" w:ascii="Arial" w:hAnsi="Arial"/>
                <w:sz w:val="16"/>
              </w:rPr>
              <w:t>Houston, Texas 77210-4428</w:t>
            </w:r>
          </w:p>
          <w:p>
            <w:pPr>
              <w:pStyle w:val="Normal"/>
              <w:ind w:start="4392" w:end="0"/>
              <w:rPr>
                <w:rFonts w:ascii="Arial" w:hAnsi="Arial" w:cs="Arial"/>
                <w:sz w:val="16"/>
              </w:rPr>
            </w:pPr>
            <w:r>
              <w:rPr>
                <w:rFonts w:cs="Arial" w:ascii="Arial" w:hAnsi="Arial"/>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October 25,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Gerry Cupp</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City of Shasta Lake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PO Box 777</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Shasta Lake, CA 96019</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(530) 275-7435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The purpose of this confirmation letter (“Confirmation”) is to confirm the terms and conditions of the transaction entered into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City of Shasta Lake</w:t>
      </w:r>
      <w:r>
        <w:rPr>
          <w:sz w:val="18"/>
          <w:rFonts w:cs="Arial" w:ascii="Arial" w:hAnsi="Arial"/>
        </w:rPr>
        <w:fldChar w:fldCharType="end"/>
      </w:r>
      <w:r>
        <w:rPr>
          <w:rFonts w:cs="Arial" w:ascii="Arial" w:hAnsi="Arial"/>
          <w:sz w:val="18"/>
        </w:rPr>
        <w:t xml:space="preserve"> (“Counterparty”)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on the Trade Date specified below (the “Transaction”).  This Confirmation is being provided pursuant to and in accordance with the </w:t>
      </w:r>
      <w:r>
        <w:rPr>
          <w:rFonts w:cs="Arial" w:ascii="Arial" w:hAnsi="Arial"/>
          <w:sz w:val="18"/>
          <w:highlight w:val="yellow"/>
        </w:rPr>
        <w:fldChar w:fldCharType="begin"/>
      </w:r>
      <w:r>
        <w:rPr>
          <w:sz w:val="18"/>
          <w:highlight w:val="yellow"/>
          <w:rFonts w:cs="Arial" w:ascii="Arial" w:hAnsi="Arial"/>
        </w:rPr>
        <w:instrText xml:space="preserve"> MERGEFIELD ContractName </w:instrText>
      </w:r>
      <w:r>
        <w:rPr>
          <w:sz w:val="18"/>
          <w:highlight w:val="yellow"/>
          <w:rFonts w:cs="Arial" w:ascii="Arial" w:hAnsi="Arial"/>
        </w:rPr>
        <w:fldChar w:fldCharType="separate"/>
      </w:r>
      <w:r>
        <w:rPr>
          <w:sz w:val="18"/>
          <w:highlight w:val="yellow"/>
          <w:rFonts w:cs="Arial" w:ascii="Arial" w:hAnsi="Arial"/>
        </w:rPr>
        <w:t>Master Energy Purchase and Sale Agreement</w:t>
      </w:r>
      <w:r>
        <w:rPr>
          <w:sz w:val="18"/>
          <w:highlight w:val="yellow"/>
          <w:rFonts w:cs="Arial" w:ascii="Arial" w:hAnsi="Arial"/>
        </w:rPr>
        <w:fldChar w:fldCharType="end"/>
      </w:r>
      <w:r>
        <w:rPr>
          <w:rFonts w:cs="Arial" w:ascii="Arial" w:hAnsi="Arial"/>
          <w:sz w:val="18"/>
        </w:rPr>
        <w:t xml:space="preserve"> between Counterparty and EPMI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21, 2000</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numPr>
          <w:ilvl w:val="0"/>
          <w:numId w:val="4"/>
        </w:numPr>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
          <w:sz w:val="18"/>
          <w:u w:val="single"/>
        </w:rPr>
      </w:pPr>
      <w:r>
        <w:rPr>
          <w:rFonts w:cs="Arial" w:ascii="Arial" w:hAnsi="Arial"/>
          <w:b/>
          <w:sz w:val="18"/>
          <w:u w:val="single"/>
        </w:rPr>
        <w:t>Terms of Transaction</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
          <w:sz w:val="18"/>
          <w:u w:val="single"/>
        </w:rPr>
      </w:pPr>
      <w:r>
        <w:rPr>
          <w:rFonts w:cs="Arial" w:ascii="Arial" w:hAnsi="Arial"/>
          <w:b/>
          <w:sz w:val="18"/>
          <w:u w:val="single"/>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Trade Date:</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October 25, 2001</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Thursday, November 1, 2001 through Monday, December 31, 2001. </w:t>
              <w:t xml:space="preserve">Hour Ending (HE) 0100 through HE 2400 (24 Hours each day); </w:t>
              <w:t xml:space="preserve">Pacific Prevailing Time. </w:t>
            </w:r>
            <w:r>
              <w:rPr>
                <w:sz w:val="18"/>
                <w:rFonts w:cs="Arial" w:ascii="Arial" w:hAnsi="Arial"/>
              </w:rPr>
              <w:fldChar w:fldCharType="end"/>
            </w:r>
            <w:r>
              <w:rPr>
                <w:rFonts w:cs="Arial" w:ascii="Arial" w:hAnsi="Arial"/>
                <w:sz w:val="18"/>
              </w:rPr>
              <w:t>(“PPT”)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Shasta assumes no responsibility for any COTP curtailments or outages during this period.  EPMI will assume all risks, derates, curtailments, outages, and transmission losses for energies delivered on the line.</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Transaction:</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Bilateral Transmission Option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Option Seller: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OptSeller </w:instrText>
            </w:r>
            <w:r>
              <w:rPr>
                <w:sz w:val="18"/>
                <w:rFonts w:cs="Arial" w:ascii="Arial" w:hAnsi="Arial"/>
              </w:rPr>
              <w:fldChar w:fldCharType="separate"/>
            </w:r>
            <w:r>
              <w:rPr>
                <w:sz w:val="18"/>
                <w:rFonts w:cs="Arial" w:ascii="Arial" w:hAnsi="Arial"/>
              </w:rPr>
              <w:t>City of Shasta Lake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Option Buyer: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OptPurchaser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Premium: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OptionPremiumAmt </w:instrText>
            </w:r>
            <w:r>
              <w:rPr>
                <w:sz w:val="18"/>
                <w:rFonts w:cs="Arial" w:ascii="Arial" w:hAnsi="Arial"/>
              </w:rPr>
              <w:fldChar w:fldCharType="separate"/>
            </w:r>
            <w:r>
              <w:rPr>
                <w:sz w:val="18"/>
                <w:rFonts w:cs="Arial" w:ascii="Arial" w:hAnsi="Arial"/>
              </w:rPr>
              <w:t>US Dollars $1.000/MWh</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to be paid within two (2) Business Days </w:t>
            </w:r>
            <w:r>
              <w:rPr>
                <w:rFonts w:cs="Arial" w:ascii="Arial" w:hAnsi="Arial"/>
                <w:sz w:val="18"/>
                <w:lang w:val="en-CA" w:eastAsia="en-CA"/>
              </w:rPr>
              <w:t>from receipt of invoice</w:t>
            </w:r>
            <w:r>
              <w:rPr>
                <w:rFonts w:cs="Arial" w:ascii="Arial" w:hAnsi="Arial"/>
                <w:sz w:val="18"/>
              </w:rPr>
              <w:t>.</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Commodity: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Transmission</w:t>
            </w:r>
          </w:p>
        </w:tc>
      </w:tr>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Transmission</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Path:</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Bi-directional NP-15 (Tracy) to COB</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CAISO CRN north to south-C-20</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CAISO CRN south to north-C29</w:t>
            </w:r>
          </w:p>
        </w:tc>
      </w:tr>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Strike</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For energy trades scheduled prior to 0700 on the day prior, $2.00 per Mwh plus line losses, or for trades scheduled prior to 1430 on the day prior, $3.00 per Mwh plus line losses.  It is also agreed that EPMI will be responsible for all curtailments or de-rating on such capacity (other than for reasons of force majeure) and such will be at EPMI’s sole expense.</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Capacity: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The equivalent available transmission capacity of the City of Shasta Lake’s 25 Mw NP-15 capacity COB to NP-15 south and NP-15 to COB north.  In the south to north direction only (NP-15 to COB), 19.14063 Mw base value.  COTP S-N rating is normally 3675 Mw, which corresponds to Shasta’s 19.14063 Mw.  In the north to south direction (COB to NP-15) 25 Mw, based on a 4800 Mw rating.  EPMI will calculate its actual daily transmission capacity based on the day ahead COTP rating for the direction being used.</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NP-15</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COB N/S</w:t>
            </w:r>
            <w:r>
              <w:rPr>
                <w:sz w:val="18"/>
                <w:rFonts w:cs="Arial" w:ascii="Arial" w:hAnsi="Arial"/>
              </w:rPr>
              <w:fldChar w:fldCharType="end"/>
            </w:r>
          </w:p>
        </w:tc>
      </w:tr>
    </w:tbl>
    <w:p>
      <w:pPr>
        <w:pStyle w:val="Normal"/>
        <w:jc w:val="both"/>
        <w:rPr>
          <w:rFonts w:ascii="Arial" w:hAnsi="Arial" w:cs="Arial"/>
          <w:sz w:val="18"/>
          <w:u w:val="single"/>
        </w:rPr>
      </w:pPr>
      <w:r>
        <w:rPr>
          <w:rFonts w:cs="Arial" w:ascii="Arial" w:hAnsi="Arial"/>
          <w:sz w:val="18"/>
          <w:u w:val="single"/>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jc w:val="both"/>
              <w:rPr>
                <w:rFonts w:ascii="Arial" w:hAnsi="Arial" w:cs="Arial"/>
                <w:sz w:val="18"/>
              </w:rPr>
            </w:pPr>
            <w:r>
              <w:rPr>
                <w:rFonts w:cs="Arial" w:ascii="Arial" w:hAnsi="Arial"/>
                <w:sz w:val="18"/>
              </w:rPr>
              <w:t>Special</w:t>
            </w:r>
          </w:p>
          <w:p>
            <w:pPr>
              <w:pStyle w:val="Normal"/>
              <w:jc w:val="both"/>
              <w:rPr>
                <w:rFonts w:ascii="Arial" w:hAnsi="Arial" w:cs="Arial"/>
                <w:sz w:val="18"/>
              </w:rPr>
            </w:pPr>
            <w:r>
              <w:rPr>
                <w:rFonts w:cs="Arial" w:ascii="Arial" w:hAnsi="Arial"/>
                <w:sz w:val="18"/>
              </w:rPr>
              <w:t>Conditions:</w:t>
            </w:r>
          </w:p>
        </w:tc>
        <w:tc>
          <w:tcPr>
            <w:tcW w:w="8118" w:type="dxa"/>
            <w:tcBorders/>
          </w:tcPr>
          <w:p>
            <w:pPr>
              <w:pStyle w:val="Normal"/>
              <w:jc w:val="both"/>
              <w:rPr>
                <w:rFonts w:ascii="Arial" w:hAnsi="Arial" w:cs="Arial"/>
                <w:sz w:val="18"/>
                <w:highlight w:val="yellow"/>
              </w:rPr>
            </w:pPr>
            <w:r>
              <w:rPr>
                <w:rFonts w:cs="Arial" w:ascii="Arial" w:hAnsi="Arial"/>
                <w:sz w:val="18"/>
                <w:highlight w:val="yellow"/>
              </w:rPr>
              <w:t>In consideration for EPMI’s Premium payment, EPMI shall have the right, but not the obligation, to require Counterparty to:</w:t>
            </w:r>
          </w:p>
          <w:p>
            <w:pPr>
              <w:pStyle w:val="Normal"/>
              <w:jc w:val="both"/>
              <w:rPr>
                <w:rFonts w:ascii="Arial" w:hAnsi="Arial" w:cs="Arial"/>
                <w:sz w:val="18"/>
                <w:highlight w:val="yellow"/>
              </w:rPr>
            </w:pPr>
            <w:r>
              <w:rPr>
                <w:rFonts w:cs="Arial" w:ascii="Arial" w:hAnsi="Arial"/>
                <w:sz w:val="18"/>
                <w:highlight w:val="yellow"/>
              </w:rPr>
            </w:r>
          </w:p>
          <w:p>
            <w:pPr>
              <w:pStyle w:val="Normal"/>
              <w:numPr>
                <w:ilvl w:val="0"/>
                <w:numId w:val="2"/>
              </w:numPr>
              <w:jc w:val="both"/>
              <w:rPr>
                <w:rFonts w:ascii="Arial" w:hAnsi="Arial" w:cs="Arial"/>
                <w:sz w:val="18"/>
                <w:highlight w:val="yellow"/>
              </w:rPr>
            </w:pPr>
            <w:r>
              <w:rPr>
                <w:rFonts w:cs="Arial" w:ascii="Arial" w:hAnsi="Arial"/>
                <w:sz w:val="18"/>
                <w:highlight w:val="yellow"/>
              </w:rPr>
              <w:t>sell and deliver to EPMI the Quantity of CAISO Firm Energy at the Delivery Point NP-15 for the Term of the Transaction; and</w:t>
            </w:r>
          </w:p>
          <w:p>
            <w:pPr>
              <w:pStyle w:val="Normal"/>
              <w:numPr>
                <w:ilvl w:val="0"/>
                <w:numId w:val="2"/>
              </w:numPr>
              <w:jc w:val="both"/>
              <w:rPr>
                <w:rFonts w:ascii="Arial" w:hAnsi="Arial" w:cs="Arial"/>
                <w:sz w:val="18"/>
                <w:highlight w:val="yellow"/>
              </w:rPr>
            </w:pPr>
            <w:r>
              <w:rPr>
                <w:rFonts w:cs="Arial" w:ascii="Arial" w:hAnsi="Arial"/>
                <w:sz w:val="18"/>
                <w:highlight w:val="yellow"/>
              </w:rPr>
              <w:t xml:space="preserve">purchase and receive from EPMI the Quantity of Schedule C Firm Energy at the Delivery Point COB N/S for the Term of the Transaction at a positive </w:t>
            </w:r>
            <w:r>
              <w:rPr>
                <w:rFonts w:cs="Arial" w:ascii="Arial" w:hAnsi="Arial"/>
                <w:sz w:val="18"/>
                <w:highlight w:val="yellow"/>
              </w:rPr>
              <w:fldChar w:fldCharType="begin"/>
            </w:r>
            <w:r>
              <w:rPr>
                <w:sz w:val="18"/>
                <w:highlight w:val="yellow"/>
                <w:rFonts w:cs="Arial" w:ascii="Arial" w:hAnsi="Arial"/>
              </w:rPr>
              <w:instrText xml:space="preserve"> MERGEFIELD Price </w:instrText>
            </w:r>
            <w:r>
              <w:rPr>
                <w:sz w:val="18"/>
                <w:highlight w:val="yellow"/>
                <w:rFonts w:cs="Arial" w:ascii="Arial" w:hAnsi="Arial"/>
              </w:rPr>
              <w:fldChar w:fldCharType="separate"/>
            </w:r>
            <w:r>
              <w:rPr>
                <w:sz w:val="18"/>
                <w:highlight w:val="yellow"/>
                <w:rFonts w:cs="Arial" w:ascii="Arial" w:hAnsi="Arial"/>
              </w:rPr>
              <w:t>US Dollars $3.00/MWh</w:t>
            </w:r>
            <w:r>
              <w:rPr>
                <w:sz w:val="18"/>
                <w:highlight w:val="yellow"/>
                <w:rFonts w:cs="Arial" w:ascii="Arial" w:hAnsi="Arial"/>
              </w:rPr>
              <w:fldChar w:fldCharType="end"/>
            </w:r>
            <w:r>
              <w:rPr>
                <w:rFonts w:cs="Arial" w:ascii="Arial" w:hAnsi="Arial"/>
                <w:sz w:val="18"/>
                <w:highlight w:val="yellow"/>
              </w:rPr>
              <w:t xml:space="preserve"> price differential to NP-15.</w:t>
            </w:r>
          </w:p>
          <w:p>
            <w:pPr>
              <w:pStyle w:val="Normal"/>
              <w:jc w:val="both"/>
              <w:rPr>
                <w:rFonts w:ascii="Arial" w:hAnsi="Arial" w:cs="Arial"/>
                <w:sz w:val="18"/>
                <w:highlight w:val="yellow"/>
              </w:rPr>
            </w:pPr>
            <w:r>
              <w:rPr>
                <w:rFonts w:cs="Arial" w:ascii="Arial" w:hAnsi="Arial"/>
                <w:sz w:val="18"/>
                <w:highlight w:val="yellow"/>
              </w:rPr>
            </w:r>
          </w:p>
          <w:p>
            <w:pPr>
              <w:pStyle w:val="Normal"/>
              <w:jc w:val="both"/>
              <w:rPr>
                <w:rFonts w:ascii="Arial" w:hAnsi="Arial" w:cs="Arial"/>
                <w:sz w:val="18"/>
                <w:highlight w:val="yellow"/>
              </w:rPr>
            </w:pPr>
            <w:r>
              <w:rPr>
                <w:rFonts w:cs="Arial" w:ascii="Arial" w:hAnsi="Arial"/>
                <w:sz w:val="18"/>
                <w:highlight w:val="yellow"/>
              </w:rPr>
              <w:t>Or</w:t>
            </w:r>
          </w:p>
          <w:p>
            <w:pPr>
              <w:pStyle w:val="Normal"/>
              <w:jc w:val="both"/>
              <w:rPr>
                <w:rFonts w:ascii="Arial" w:hAnsi="Arial" w:cs="Arial"/>
                <w:sz w:val="18"/>
                <w:highlight w:val="yellow"/>
              </w:rPr>
            </w:pPr>
            <w:r>
              <w:rPr>
                <w:rFonts w:cs="Arial" w:ascii="Arial" w:hAnsi="Arial"/>
                <w:sz w:val="18"/>
                <w:highlight w:val="yellow"/>
              </w:rPr>
            </w:r>
          </w:p>
          <w:p>
            <w:pPr>
              <w:pStyle w:val="BodyText"/>
              <w:numPr>
                <w:ilvl w:val="0"/>
                <w:numId w:val="3"/>
              </w:numPr>
              <w:rPr>
                <w:highlight w:val="yellow"/>
              </w:rPr>
            </w:pPr>
            <w:r>
              <w:rPr>
                <w:highlight w:val="yellow"/>
              </w:rPr>
              <w:t>purchase and receive from EPMI the Quantity of CAISO Firm Energy at the Delivery Point  NP-15 for the Term of the Transaction; and</w:t>
            </w:r>
          </w:p>
          <w:p>
            <w:pPr>
              <w:pStyle w:val="Normal"/>
              <w:numPr>
                <w:ilvl w:val="0"/>
                <w:numId w:val="3"/>
              </w:numPr>
              <w:jc w:val="both"/>
              <w:rPr>
                <w:rFonts w:ascii="Arial" w:hAnsi="Arial" w:cs="Arial"/>
                <w:sz w:val="18"/>
                <w:highlight w:val="yellow"/>
              </w:rPr>
            </w:pPr>
            <w:r>
              <w:rPr>
                <w:rFonts w:cs="Arial" w:ascii="Arial" w:hAnsi="Arial"/>
                <w:sz w:val="18"/>
                <w:highlight w:val="yellow"/>
              </w:rPr>
              <w:t>sell and deliver to EPMI the Quantity at a positive US Dollars $3.00/MWh price differential to NP-15.</w:t>
            </w:r>
          </w:p>
          <w:p>
            <w:pPr>
              <w:pStyle w:val="Normal"/>
              <w:jc w:val="both"/>
              <w:rPr>
                <w:rFonts w:ascii="Arial" w:hAnsi="Arial" w:cs="Arial"/>
                <w:sz w:val="18"/>
                <w:highlight w:val="yellow"/>
              </w:rPr>
            </w:pPr>
            <w:r>
              <w:rPr>
                <w:rFonts w:cs="Arial" w:ascii="Arial" w:hAnsi="Arial"/>
                <w:sz w:val="18"/>
                <w:highlight w:val="yellow"/>
              </w:rPr>
            </w:r>
          </w:p>
          <w:p>
            <w:pPr>
              <w:pStyle w:val="Normal"/>
              <w:jc w:val="both"/>
              <w:rPr/>
            </w:pPr>
            <w:r>
              <w:rPr>
                <w:rFonts w:cs="Arial" w:ascii="Arial" w:hAnsi="Arial"/>
                <w:sz w:val="18"/>
                <w:highlight w:val="yellow"/>
              </w:rPr>
              <w:t xml:space="preserve">In order to exercise the Option, </w:t>
            </w:r>
            <w:r>
              <w:rPr>
                <w:rFonts w:cs="Arial" w:ascii="Arial" w:hAnsi="Arial"/>
                <w:sz w:val="18"/>
                <w:highlight w:val="yellow"/>
              </w:rPr>
              <w:fldChar w:fldCharType="begin"/>
            </w:r>
            <w:r>
              <w:rPr>
                <w:sz w:val="18"/>
                <w:highlight w:val="yellow"/>
                <w:rFonts w:cs="Arial" w:ascii="Arial" w:hAnsi="Arial"/>
              </w:rPr>
              <w:instrText xml:space="preserve"> MERGEFIELD OptPurchaser </w:instrText>
            </w:r>
            <w:r>
              <w:rPr>
                <w:sz w:val="18"/>
                <w:highlight w:val="yellow"/>
                <w:rFonts w:cs="Arial" w:ascii="Arial" w:hAnsi="Arial"/>
              </w:rPr>
              <w:fldChar w:fldCharType="separate"/>
            </w:r>
            <w:r>
              <w:rPr>
                <w:sz w:val="18"/>
                <w:highlight w:val="yellow"/>
                <w:rFonts w:cs="Arial" w:ascii="Arial" w:hAnsi="Arial"/>
              </w:rPr>
              <w:t>Enron Power Marketing, Inc.</w:t>
            </w:r>
            <w:r>
              <w:rPr>
                <w:sz w:val="18"/>
                <w:highlight w:val="yellow"/>
                <w:rFonts w:cs="Arial" w:ascii="Arial" w:hAnsi="Arial"/>
              </w:rPr>
              <w:fldChar w:fldCharType="end"/>
            </w:r>
            <w:r>
              <w:rPr>
                <w:rFonts w:cs="Arial" w:ascii="Arial" w:hAnsi="Arial"/>
                <w:sz w:val="18"/>
                <w:highlight w:val="yellow"/>
              </w:rPr>
              <w:t xml:space="preserve"> must provide telephonic notice of such to </w:t>
            </w:r>
            <w:r>
              <w:rPr>
                <w:rFonts w:cs="Arial" w:ascii="Arial" w:hAnsi="Arial"/>
                <w:sz w:val="18"/>
                <w:highlight w:val="yellow"/>
              </w:rPr>
              <w:fldChar w:fldCharType="begin"/>
            </w:r>
            <w:r>
              <w:rPr>
                <w:sz w:val="18"/>
                <w:highlight w:val="yellow"/>
                <w:rFonts w:cs="Arial" w:ascii="Arial" w:hAnsi="Arial"/>
              </w:rPr>
              <w:instrText xml:space="preserve"> MERGEFIELD OptSeller </w:instrText>
            </w:r>
            <w:r>
              <w:rPr>
                <w:sz w:val="18"/>
                <w:highlight w:val="yellow"/>
                <w:rFonts w:cs="Arial" w:ascii="Arial" w:hAnsi="Arial"/>
              </w:rPr>
              <w:fldChar w:fldCharType="separate"/>
            </w:r>
            <w:r>
              <w:rPr>
                <w:sz w:val="18"/>
                <w:highlight w:val="yellow"/>
                <w:rFonts w:cs="Arial" w:ascii="Arial" w:hAnsi="Arial"/>
              </w:rPr>
              <w:t>City of Shasta Lake</w:t>
            </w:r>
            <w:r>
              <w:rPr>
                <w:sz w:val="18"/>
                <w:highlight w:val="yellow"/>
                <w:rFonts w:cs="Arial" w:ascii="Arial" w:hAnsi="Arial"/>
              </w:rPr>
              <w:fldChar w:fldCharType="end"/>
            </w:r>
            <w:r>
              <w:rPr>
                <w:rFonts w:cs="Arial" w:ascii="Arial" w:hAnsi="Arial"/>
                <w:sz w:val="18"/>
                <w:highlight w:val="yellow"/>
              </w:rPr>
              <w:t xml:space="preserve"> no later than 7:00 a.m. (PPT) on the prior prescheduled day</w:t>
            </w:r>
            <w:r>
              <w:rPr>
                <w:rFonts w:cs="Arial" w:ascii="Arial" w:hAnsi="Arial"/>
                <w:sz w:val="18"/>
                <w:highlight w:val="yellow"/>
              </w:rPr>
              <w:fldChar w:fldCharType="begin"/>
            </w:r>
            <w:r>
              <w:rPr>
                <w:sz w:val="18"/>
                <w:highlight w:val="yellow"/>
                <w:rFonts w:cs="Arial" w:ascii="Arial" w:hAnsi="Arial"/>
              </w:rPr>
              <w:instrText xml:space="preserve"> MERGEFIELD ExpiryDate </w:instrText>
            </w:r>
            <w:r>
              <w:rPr>
                <w:sz w:val="18"/>
                <w:highlight w:val="yellow"/>
                <w:rFonts w:cs="Arial" w:ascii="Arial" w:hAnsi="Arial"/>
              </w:rPr>
              <w:fldChar w:fldCharType="separate"/>
            </w:r>
            <w:r>
              <w:rPr>
                <w:sz w:val="18"/>
                <w:highlight w:val="yellow"/>
                <w:rFonts w:cs="Arial" w:ascii="Arial" w:hAnsi="Arial"/>
              </w:rPr>
            </w:r>
            <w:r>
              <w:rPr>
                <w:sz w:val="18"/>
                <w:highlight w:val="yellow"/>
                <w:rFonts w:cs="Arial" w:ascii="Arial" w:hAnsi="Arial"/>
              </w:rPr>
              <w:fldChar w:fldCharType="end"/>
            </w:r>
            <w:r>
              <w:rPr>
                <w:rFonts w:cs="Arial" w:ascii="Arial" w:hAnsi="Arial"/>
                <w:sz w:val="18"/>
                <w:highlight w:val="yellow"/>
              </w:rPr>
              <w:t>.  If the Option is properly exercised, the parties shall be obligated to schedule, deliver and receive the Quantity of the Commodities for the Term of the Transaction.</w:t>
            </w:r>
            <w:r>
              <w:rPr>
                <w:rFonts w:cs="Arial" w:ascii="Arial" w:hAnsi="Arial"/>
                <w:sz w:val="18"/>
              </w:rPr>
              <w:t xml:space="preserve">       </w:t>
            </w:r>
          </w:p>
        </w:tc>
      </w:tr>
    </w:tbl>
    <w:p>
      <w:pPr>
        <w:pStyle w:val="Normal"/>
        <w:jc w:val="both"/>
        <w:rPr>
          <w:rFonts w:ascii="Arial" w:hAnsi="Arial" w:cs="Arial"/>
          <w:sz w:val="18"/>
          <w:u w:val="single"/>
        </w:rPr>
      </w:pPr>
      <w:r>
        <w:rPr>
          <w:rFonts w:cs="Arial" w:ascii="Arial" w:hAnsi="Arial"/>
          <w:sz w:val="18"/>
          <w:u w:val="single"/>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Scheduling:</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EPMI Real Time Operations: 1-800-684-1336</w:t>
            </w: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tc>
      </w:tr>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Notification:</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EPMI assumes responsibility for notifying all parties regarding this assignment (WESTERN, PG&amp;E, CAISO and others as necessary) and setting up scheduling with the CAISO.  EPMI must be or have a Scheduling Coordinator certified to transact business with the CAISO.</w:t>
            </w:r>
          </w:p>
        </w:tc>
      </w:tr>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bl>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October 25,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xml:space="preserve">. Your response should reflect the appropriate party in your organization who has the authority to enter into this transaction. If you have any questions please call (713) 853-1886.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City of Shasta Lake</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r>
        <w:rPr>
          <w:rFonts w:cs="Arial" w:ascii="Arial" w:hAnsi="Arial"/>
          <w:sz w:val="18"/>
        </w:rPr>
        <w:t xml:space="preserve">  </w:t>
      </w:r>
    </w:p>
    <w:sectPr>
      <w:headerReference w:type="default" r:id="rId3"/>
      <w:footerReference w:type="default" r:id="rId4"/>
      <w:type w:val="nextPage"/>
      <w:pgSz w:w="12561"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rPr>
      <w:tab/>
      <w:t xml:space="preserve">                                                                                                          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839722.01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lowerLetter"/>
      <w:lvlText w:val="%1)"/>
      <w:lvlJc w:val="start"/>
      <w:pPr>
        <w:tabs>
          <w:tab w:val="num" w:pos="720"/>
        </w:tabs>
        <w:ind w:start="720" w:hanging="360"/>
      </w:pPr>
      <w:rPr/>
    </w:lvl>
  </w:abstractNum>
  <w:abstractNum w:abstractNumId="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snapToGrid w:val="false"/>
      <w:ind w:firstLine="720" w:start="0" w:end="0"/>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2001-10-26T14:02:00Z</dcterms:created>
  <dc:creator> </dc:creator>
  <dc:description/>
  <dc:language>en-CA</dc:language>
  <cp:lastModifiedBy>mmurphy</cp:lastModifiedBy>
  <dcterms:modified xsi:type="dcterms:W3CDTF">2001-10-26T14:02:00Z</dcterms:modified>
  <cp:revision>2</cp:revision>
  <dc:subject/>
  <dc:title>839722.01</dc:title>
</cp:coreProperties>
</file>