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266825" cy="238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8" t="-151" r="-28" b="-151"/>
                    <a:stretch>
                      <a:fillRect/>
                    </a:stretch>
                  </pic:blipFill>
                  <pic:spPr bwMode="auto">
                    <a:xfrm>
                      <a:off x="0" y="0"/>
                      <a:ext cx="1266825" cy="238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5207635</wp:posOffset>
                </wp:positionH>
                <wp:positionV relativeFrom="paragraph">
                  <wp:posOffset>-461645</wp:posOffset>
                </wp:positionV>
                <wp:extent cx="923290" cy="466090"/>
                <wp:effectExtent l="0" t="0" r="0" b="0"/>
                <wp:wrapNone/>
                <wp:docPr id="2" name="Frame1"/>
                <a:graphic xmlns:a="http://schemas.openxmlformats.org/drawingml/2006/main">
                  <a:graphicData uri="http://schemas.microsoft.com/office/word/2010/wordprocessingShape">
                    <wps:wsp>
                      <wps:cNvSpPr txBox="1"/>
                      <wps:spPr>
                        <a:xfrm>
                          <a:off x="0" y="0"/>
                          <a:ext cx="923290" cy="466090"/>
                        </a:xfrm>
                        <a:prstGeom prst="rect"/>
                        <a:solidFill>
                          <a:srgbClr val="FFFFFF"/>
                        </a:solidFill>
                        <a:ln w="9525">
                          <a:solidFill>
                            <a:srgbClr val="000000"/>
                          </a:solidFill>
                        </a:ln>
                      </wps:spPr>
                      <wps:txbx>
                        <w:txbxContent>
                          <w:p>
                            <w:pPr>
                              <w:pStyle w:val="Normal"/>
                              <w:jc w:val="center"/>
                              <w:rPr>
                                <w:b/>
                              </w:rPr>
                            </w:pPr>
                            <w:r>
                              <w:rPr>
                                <w:b/>
                              </w:rPr>
                              <w:t>DRAFT</w:t>
                            </w:r>
                          </w:p>
                          <w:p>
                            <w:pPr>
                              <w:pStyle w:val="Normal"/>
                              <w:jc w:val="center"/>
                              <w:rPr>
                                <w:b/>
                              </w:rPr>
                            </w:pPr>
                            <w:r>
                              <w:rPr>
                                <w:b/>
                              </w:rPr>
                              <w:t>V.1</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6.7pt;mso-wrap-distance-left:9.05pt;mso-wrap-distance-right:9.05pt;mso-wrap-distance-top:0pt;mso-wrap-distance-bottom:0pt;margin-top:-36.35pt;mso-position-vertical-relative:text;margin-left:410.05pt;mso-position-horizontal-relative:text">
                <v:textbox>
                  <w:txbxContent>
                    <w:p>
                      <w:pPr>
                        <w:pStyle w:val="Normal"/>
                        <w:jc w:val="center"/>
                        <w:rPr>
                          <w:b/>
                        </w:rPr>
                      </w:pPr>
                      <w:r>
                        <w:rPr>
                          <w:b/>
                        </w:rPr>
                        <w:t>DRAFT</w:t>
                      </w:r>
                    </w:p>
                    <w:p>
                      <w:pPr>
                        <w:pStyle w:val="Normal"/>
                        <w:jc w:val="center"/>
                        <w:rPr>
                          <w:b/>
                        </w:rPr>
                      </w:pPr>
                      <w:r>
                        <w:rPr>
                          <w:b/>
                        </w:rPr>
                        <w:t>V.1</w:t>
                      </w:r>
                    </w:p>
                  </w:txbxContent>
                </v:textbox>
                <w10:wrap type="none"/>
              </v:rect>
            </w:pict>
          </mc:Fallback>
        </mc:AlternateContent>
      </w:r>
    </w:p>
    <w:p>
      <w:pPr>
        <w:pStyle w:val="Normal"/>
        <w:rPr/>
      </w:pPr>
      <w:r>
        <w:rPr/>
      </w:r>
    </w:p>
    <w:tbl>
      <w:tblPr>
        <w:tblW w:w="8388" w:type="dxa"/>
        <w:jc w:val="start"/>
        <w:tblInd w:w="468" w:type="dxa"/>
        <w:tblLayout w:type="fixed"/>
        <w:tblCellMar>
          <w:top w:w="0" w:type="dxa"/>
          <w:start w:w="108" w:type="dxa"/>
          <w:bottom w:w="0" w:type="dxa"/>
          <w:end w:w="108" w:type="dxa"/>
        </w:tblCellMar>
      </w:tblPr>
      <w:tblGrid>
        <w:gridCol w:w="3888"/>
        <w:gridCol w:w="2070"/>
        <w:gridCol w:w="2430"/>
      </w:tblGrid>
      <w:tr>
        <w:trPr>
          <w:trHeight w:val="1080" w:hRule="atLeast"/>
        </w:trPr>
        <w:tc>
          <w:tcPr>
            <w:tcW w:w="3888" w:type="dxa"/>
            <w:tcBorders/>
          </w:tcPr>
          <w:p>
            <w:pPr>
              <w:pStyle w:val="Headline"/>
              <w:spacing w:before="0" w:after="0"/>
              <w:jc w:val="start"/>
              <w:rPr>
                <w:rFonts w:ascii="Arial Narrow" w:hAnsi="Arial Narrow" w:cs="Arial Narrow"/>
                <w:i/>
                <w:i/>
                <w:sz w:val="16"/>
                <w:lang w:val="en-CA" w:eastAsia="en-CA"/>
              </w:rPr>
            </w:pPr>
            <w:r>
              <w:rPr>
                <w:rFonts w:cs="Arial Narrow" w:ascii="Arial Narrow" w:hAnsi="Arial Narrow"/>
                <w:i/>
                <w:sz w:val="16"/>
                <w:lang w:val="en-CA" w:eastAsia="en-CA"/>
              </w:rPr>
              <w:t>Compaq Computer Corporation</w:t>
            </w:r>
          </w:p>
          <w:p>
            <w:pPr>
              <w:pStyle w:val="Headline"/>
              <w:spacing w:before="0" w:after="0"/>
              <w:jc w:val="start"/>
              <w:rPr>
                <w:sz w:val="20"/>
              </w:rPr>
            </w:pPr>
            <w:r>
              <w:rPr>
                <w:rFonts w:cs="Arial Narrow" w:ascii="Arial Narrow" w:hAnsi="Arial Narrow"/>
                <w:i/>
                <w:sz w:val="16"/>
                <w:lang w:val="en-CA" w:eastAsia="en-CA"/>
              </w:rPr>
              <w:t>Public Relations Department</w:t>
            </w:r>
          </w:p>
        </w:tc>
        <w:tc>
          <w:tcPr>
            <w:tcW w:w="2070" w:type="dxa"/>
            <w:tcBorders/>
          </w:tcPr>
          <w:p>
            <w:pPr>
              <w:pStyle w:val="Headline"/>
              <w:spacing w:before="0" w:after="0"/>
              <w:jc w:val="start"/>
              <w:rPr>
                <w:rFonts w:ascii="Arial Narrow" w:hAnsi="Arial Narrow" w:cs="Arial Narrow"/>
                <w:i/>
                <w:i/>
                <w:sz w:val="16"/>
              </w:rPr>
            </w:pPr>
            <w:r>
              <w:rPr>
                <w:rFonts w:cs="Arial Narrow" w:ascii="Arial Narrow" w:hAnsi="Arial Narrow"/>
                <w:i/>
                <w:sz w:val="16"/>
              </w:rPr>
              <w:t>P.O. Box 692000</w:t>
            </w:r>
          </w:p>
          <w:p>
            <w:pPr>
              <w:pStyle w:val="Headline"/>
              <w:spacing w:before="0" w:after="0"/>
              <w:jc w:val="start"/>
              <w:rPr>
                <w:rFonts w:ascii="Arial Narrow" w:hAnsi="Arial Narrow" w:cs="Arial Narrow"/>
                <w:i/>
                <w:i/>
                <w:sz w:val="16"/>
              </w:rPr>
            </w:pPr>
            <w:r>
              <w:rPr>
                <w:rFonts w:cs="Arial Narrow" w:ascii="Arial Narrow" w:hAnsi="Arial Narrow"/>
                <w:i/>
                <w:sz w:val="16"/>
              </w:rPr>
              <w:t>Houston, Texas 77269-2000</w:t>
            </w:r>
          </w:p>
          <w:p>
            <w:pPr>
              <w:pStyle w:val="Headline"/>
              <w:spacing w:before="0" w:after="0"/>
              <w:jc w:val="start"/>
              <w:rPr>
                <w:rFonts w:ascii="Arial Narrow" w:hAnsi="Arial Narrow" w:cs="Arial Narrow"/>
                <w:i/>
                <w:i/>
                <w:sz w:val="16"/>
              </w:rPr>
            </w:pPr>
            <w:r>
              <w:rPr>
                <w:rFonts w:cs="Arial Narrow" w:ascii="Arial Narrow" w:hAnsi="Arial Narrow"/>
                <w:i/>
                <w:sz w:val="16"/>
              </w:rPr>
              <w:t>Tel 281-514-0484</w:t>
            </w:r>
          </w:p>
          <w:p>
            <w:pPr>
              <w:pStyle w:val="Headline"/>
              <w:spacing w:before="0" w:after="0"/>
              <w:jc w:val="start"/>
              <w:rPr>
                <w:rFonts w:ascii="Arial Narrow" w:hAnsi="Arial Narrow" w:cs="Arial Narrow"/>
                <w:i/>
                <w:i/>
                <w:sz w:val="16"/>
              </w:rPr>
            </w:pPr>
            <w:r>
              <w:rPr>
                <w:rFonts w:cs="Arial Narrow" w:ascii="Arial Narrow" w:hAnsi="Arial Narrow"/>
                <w:i/>
                <w:sz w:val="16"/>
              </w:rPr>
              <w:t>FAX 281-514-4583</w:t>
            </w:r>
          </w:p>
          <w:p>
            <w:pPr>
              <w:pStyle w:val="Headline"/>
              <w:spacing w:before="0" w:after="0"/>
              <w:jc w:val="start"/>
              <w:rPr>
                <w:rFonts w:ascii="Arial Narrow" w:hAnsi="Arial Narrow" w:cs="Arial Narrow"/>
                <w:i/>
                <w:i/>
                <w:sz w:val="16"/>
              </w:rPr>
            </w:pPr>
            <w:r>
              <w:rPr>
                <w:rFonts w:cs="Arial Narrow" w:ascii="Arial Narrow" w:hAnsi="Arial Narrow"/>
                <w:i/>
                <w:sz w:val="16"/>
              </w:rPr>
            </w:r>
          </w:p>
          <w:p>
            <w:pPr>
              <w:pStyle w:val="Headline"/>
              <w:spacing w:before="0" w:after="0"/>
              <w:jc w:val="start"/>
              <w:rPr>
                <w:sz w:val="20"/>
              </w:rPr>
            </w:pPr>
            <w:r>
              <w:rPr>
                <w:rFonts w:cs="Arial Narrow" w:ascii="Arial Narrow" w:hAnsi="Arial Narrow"/>
                <w:i/>
                <w:sz w:val="16"/>
              </w:rPr>
              <w:t>http://www.compaq.com</w:t>
            </w:r>
          </w:p>
        </w:tc>
        <w:tc>
          <w:tcPr>
            <w:tcW w:w="2430" w:type="dxa"/>
            <w:tcBorders/>
          </w:tcPr>
          <w:p>
            <w:pPr>
              <w:pStyle w:val="Headline"/>
              <w:spacing w:before="0" w:after="0"/>
              <w:ind w:start="432" w:end="0"/>
              <w:jc w:val="start"/>
              <w:rPr>
                <w:rFonts w:ascii="Arial Narrow" w:hAnsi="Arial Narrow" w:cs="Arial Narrow"/>
                <w:i/>
                <w:i/>
                <w:sz w:val="32"/>
              </w:rPr>
            </w:pPr>
            <w:r>
              <w:rPr>
                <w:rFonts w:cs="Arial Narrow" w:ascii="Arial Narrow" w:hAnsi="Arial Narrow"/>
                <w:i/>
                <w:sz w:val="32"/>
              </w:rPr>
              <w:t>News Release</w:t>
            </w:r>
          </w:p>
          <w:p>
            <w:pPr>
              <w:pStyle w:val="Headline"/>
              <w:spacing w:before="0" w:after="0"/>
              <w:ind w:start="432" w:end="0"/>
              <w:jc w:val="start"/>
              <w:rPr>
                <w:rFonts w:ascii="Arial Narrow" w:hAnsi="Arial Narrow" w:cs="Arial Narrow"/>
                <w:i/>
                <w:i/>
                <w:sz w:val="32"/>
              </w:rPr>
            </w:pPr>
            <w:r>
              <w:rPr>
                <w:rFonts w:cs="Arial Narrow" w:ascii="Arial Narrow" w:hAnsi="Arial Narrow"/>
                <w:i/>
                <w:sz w:val="32"/>
              </w:rPr>
            </w:r>
          </w:p>
          <w:p>
            <w:pPr>
              <w:pStyle w:val="Headline"/>
              <w:spacing w:before="0" w:after="0"/>
              <w:ind w:start="1314" w:end="0"/>
              <w:jc w:val="start"/>
              <w:rPr>
                <w:rFonts w:ascii="Arial Narrow" w:hAnsi="Arial Narrow" w:cs="Arial Narrow"/>
                <w:i/>
                <w:i/>
                <w:sz w:val="32"/>
              </w:rPr>
            </w:pPr>
            <w:r>
              <w:rPr>
                <w:rFonts w:cs="Arial Narrow" w:ascii="Arial Narrow" w:hAnsi="Arial Narrow"/>
                <w:i/>
                <w:sz w:val="32"/>
              </w:rPr>
            </w:r>
          </w:p>
        </w:tc>
      </w:tr>
    </w:tbl>
    <w:p>
      <w:pPr>
        <w:pStyle w:val="ReleaseNote"/>
        <w:rPr/>
      </w:pPr>
      <w:r>
        <w:rPr/>
        <w:t>FOR IMMEDIATE RELEASE</w:t>
      </w:r>
    </w:p>
    <w:p>
      <w:pPr>
        <w:pStyle w:val="BodyText"/>
        <w:rPr>
          <w:sz w:val="36"/>
        </w:rPr>
      </w:pPr>
      <w:r>
        <w:rPr>
          <w:sz w:val="36"/>
        </w:rPr>
      </w:r>
    </w:p>
    <w:p>
      <w:pPr>
        <w:pStyle w:val="BodyText"/>
        <w:rPr>
          <w:sz w:val="36"/>
        </w:rPr>
      </w:pPr>
      <w:r>
        <w:rPr>
          <w:sz w:val="36"/>
        </w:rPr>
        <w:t>Compaq Names Shane V. Robison Senior Vice President and Chief Technology Officer</w:t>
      </w:r>
    </w:p>
    <w:p>
      <w:pPr>
        <w:pStyle w:val="NormalWeb"/>
        <w:spacing w:lineRule="auto" w:line="360" w:before="0" w:after="0"/>
        <w:rPr>
          <w:rFonts w:ascii="Times New Roman" w:hAnsi="Times New Roman" w:cs="Times New Roman"/>
          <w:b/>
          <w:sz w:val="36"/>
        </w:rPr>
      </w:pPr>
      <w:r>
        <w:rPr>
          <w:rFonts w:cs="Times New Roman" w:ascii="Times New Roman" w:hAnsi="Times New Roman"/>
          <w:b/>
          <w:sz w:val="36"/>
        </w:rPr>
      </w:r>
    </w:p>
    <w:p>
      <w:pPr>
        <w:pStyle w:val="NormalWeb"/>
        <w:spacing w:lineRule="auto" w:line="360" w:before="0" w:after="0"/>
        <w:rPr/>
      </w:pPr>
      <w:r>
        <w:rPr>
          <w:rFonts w:cs="Times New Roman" w:ascii="Times New Roman" w:hAnsi="Times New Roman"/>
          <w:b/>
        </w:rPr>
        <w:t>HOUSTON, October 6, 2000 --</w:t>
      </w:r>
      <w:r>
        <w:rPr>
          <w:rFonts w:cs="Times New Roman" w:ascii="Times New Roman" w:hAnsi="Times New Roman"/>
        </w:rPr>
        <w:t xml:space="preserve"> Compaq Computer Corporation (</w:t>
      </w:r>
      <w:hyperlink r:id="rId3">
        <w:r>
          <w:rPr>
            <w:rStyle w:val="Hyperlink"/>
            <w:rFonts w:cs="Times New Roman" w:ascii="Times New Roman" w:hAnsi="Times New Roman"/>
            <w:color w:val="000000"/>
            <w:u w:val="none"/>
          </w:rPr>
          <w:t>NYSE: CPQ</w:t>
        </w:r>
      </w:hyperlink>
      <w:r>
        <w:rPr>
          <w:rFonts w:cs="Times New Roman" w:ascii="Times New Roman" w:hAnsi="Times New Roman"/>
        </w:rPr>
        <w:t xml:space="preserve">) today named Shane V. Robison to the position of Senior Vice President and Chief Technology Officer. Robison brings over 15 years of information technology and engineering experience in a range of corporate environments to Compaq. </w:t>
      </w:r>
    </w:p>
    <w:p>
      <w:pPr>
        <w:pStyle w:val="NormalWeb"/>
        <w:spacing w:lineRule="auto" w:line="360" w:before="0" w:after="0"/>
        <w:ind w:firstLine="720" w:end="0"/>
        <w:rPr>
          <w:rFonts w:ascii="Times New Roman" w:hAnsi="Times New Roman" w:cs="Times New Roman"/>
        </w:rPr>
      </w:pPr>
      <w:r>
        <w:rPr>
          <w:rFonts w:cs="Times New Roman" w:ascii="Times New Roman" w:hAnsi="Times New Roman"/>
        </w:rPr>
        <w:t>“</w:t>
      </w:r>
      <w:r>
        <w:rPr>
          <w:rFonts w:cs="Times New Roman" w:ascii="Times New Roman" w:hAnsi="Times New Roman"/>
        </w:rPr>
        <w:t>Shane Robison is uniquely qualified to advance Compaq’s strategic growth plan from both an internal and external perspective,” said Michael Capellas, Compaq Chairman and Chief Executive Officer.  “Shane’s experience provides him with the vision and strategic insight needed to have an immediate impact on the research and development of technical innovations essential to Compaq’s profitability.  He will contribute to enhancing the integrated technical community available to our employees and provide leadership in identifying joint initiatives and business development opportunities that benefit Compaq’s customers and partners.”  Capellas continued, “Shane joins Compaq at an exciting time as we move forward with a clear business strategy that will fully harness his expertise in Internet-based technologies.”</w:t>
      </w:r>
    </w:p>
    <w:p>
      <w:pPr>
        <w:pStyle w:val="NormalWeb"/>
        <w:spacing w:lineRule="auto" w:line="360" w:before="0" w:after="0"/>
        <w:ind w:firstLine="720" w:end="0"/>
        <w:rPr>
          <w:rFonts w:ascii="Times New Roman" w:hAnsi="Times New Roman" w:cs="Times New Roman"/>
        </w:rPr>
      </w:pPr>
      <w:r>
        <w:rPr>
          <w:rFonts w:cs="Times New Roman" w:ascii="Times New Roman" w:hAnsi="Times New Roman"/>
        </w:rPr>
        <w:t>Robison joins Compaq from AT&amp;T, where most recently he served as President of Internet Technology and Development within AT&amp;T Labs.  In this capacity, he was responsible for the architecture, planning and development of all AT&amp;T Internet services.  Before joining AT&amp;T, Robison spent approximately four years at Cadence Design Systems, Inc., a software and consulting company, ultimately becoming President of the Design Productivity Group.</w:t>
      </w:r>
    </w:p>
    <w:p>
      <w:pPr>
        <w:pStyle w:val="NormalWeb"/>
        <w:spacing w:lineRule="auto" w:line="360" w:before="0" w:after="0"/>
        <w:ind w:firstLine="720" w:end="0"/>
        <w:rPr>
          <w:rFonts w:ascii="Times New Roman" w:hAnsi="Times New Roman" w:cs="Times New Roman"/>
        </w:rPr>
      </w:pPr>
      <w:r>
        <w:rPr>
          <w:rFonts w:cs="Times New Roman" w:ascii="Times New Roman" w:hAnsi="Times New Roman"/>
        </w:rPr>
        <w:t>“</w:t>
      </w:r>
      <w:r>
        <w:rPr>
          <w:rFonts w:cs="Times New Roman" w:ascii="Times New Roman" w:hAnsi="Times New Roman"/>
        </w:rPr>
        <w:t>This is an ideal opportunity for me to leverage my background to manage Compaq’s ever expanding technology portfolio and play a key role in the development of new Internet</w:t>
      </w:r>
    </w:p>
    <w:p>
      <w:pPr>
        <w:pStyle w:val="NormalWeb"/>
        <w:spacing w:lineRule="auto" w:line="360" w:before="0" w:after="0"/>
        <w:rPr>
          <w:rFonts w:ascii="Times New Roman" w:hAnsi="Times New Roman" w:cs="Times New Roman"/>
        </w:rPr>
      </w:pPr>
      <w:r>
        <w:rPr>
          <w:rFonts w:cs="Times New Roman" w:ascii="Times New Roman" w:hAnsi="Times New Roman"/>
        </w:rPr>
        <w:t>access and infrastructure technologies,” said Robison.  He added, “There are some brilliant, cutting edge Internet thought leaders at Compaq.  I look forward to contributing to Compaq’s strategy for investing in the future of Internet computing.”</w:t>
      </w:r>
    </w:p>
    <w:p>
      <w:pPr>
        <w:pStyle w:val="NormalWeb"/>
        <w:spacing w:lineRule="auto" w:line="360" w:before="0" w:after="0"/>
        <w:ind w:firstLine="720" w:end="0"/>
        <w:rPr>
          <w:rFonts w:ascii="Times New Roman" w:hAnsi="Times New Roman" w:cs="Times New Roman"/>
        </w:rPr>
      </w:pPr>
      <w:r>
        <w:rPr>
          <w:rFonts w:cs="Times New Roman" w:ascii="Times New Roman" w:hAnsi="Times New Roman"/>
        </w:rPr>
        <w:t>Robison received both his Masters degree and Bachelor of Science degree in Computer Science from the University of Utah.  He has written extensively on advanced computer technology topics and has been published in a variety of journals.   Robison serves on several boards, including that of Alchemy Semiconductor and Lutris Technologies.</w:t>
      </w:r>
    </w:p>
    <w:p>
      <w:pPr>
        <w:pStyle w:val="Heading2"/>
        <w:ind w:hanging="0" w:start="720" w:end="0"/>
        <w:rPr>
          <w:b w:val="false"/>
        </w:rPr>
      </w:pPr>
      <w:r>
        <w:rPr>
          <w:b w:val="false"/>
        </w:rPr>
        <w:t xml:space="preserve">Robison will report directly to Michael Capellas.  The CTOs of Compaq’s Corporate </w:t>
      </w:r>
    </w:p>
    <w:p>
      <w:pPr>
        <w:pStyle w:val="Heading2"/>
        <w:ind w:hanging="0" w:start="0"/>
        <w:rPr>
          <w:b w:val="false"/>
        </w:rPr>
      </w:pPr>
      <w:r>
        <w:rPr>
          <w:b w:val="false"/>
        </w:rPr>
        <w:t>Lab and three primary business groups will report to Robison.</w:t>
      </w:r>
    </w:p>
    <w:p>
      <w:pPr>
        <w:pStyle w:val="Normal"/>
        <w:rPr>
          <w:b/>
        </w:rPr>
      </w:pPr>
      <w:r>
        <w:rPr>
          <w:b/>
        </w:rPr>
      </w:r>
    </w:p>
    <w:p>
      <w:pPr>
        <w:pStyle w:val="Heading2"/>
        <w:ind w:hanging="0" w:start="0"/>
        <w:rPr/>
      </w:pPr>
      <w:r>
        <w:rPr/>
        <w:t>About Compaq</w:t>
      </w:r>
    </w:p>
    <w:p>
      <w:pPr>
        <w:pStyle w:val="Normal"/>
        <w:spacing w:lineRule="auto" w:line="360"/>
        <w:ind w:firstLine="720" w:end="0"/>
        <w:rPr>
          <w:color w:val="000000"/>
        </w:rPr>
      </w:pPr>
      <w:r>
        <w:rPr>
          <w:color w:val="000000"/>
        </w:rPr>
        <w:t>Compaq Computer Corporation, a Fortune Global 100 company, is the largest supplier of computing systems in the world.  Compaq designs, develops, manufactures and markets hardware, software, solutions, and services, including industry-leading enterprise computing solutions, fault-tolerant business-critical solutions, and communications products, commercial desktop and portable products, and consumer PCs.</w:t>
      </w:r>
    </w:p>
    <w:p>
      <w:pPr>
        <w:pStyle w:val="Normal"/>
        <w:spacing w:lineRule="auto" w:line="360"/>
        <w:rPr/>
      </w:pPr>
      <w:r>
        <w:rPr/>
        <w:tab/>
        <w:t xml:space="preserve">Compaq products and services are sold in more than 200 countries directly to businesses, through a network of authorized Compaq marketing partners, and directly to businesses and consumers through Compaq’s e-commerce Web site at </w:t>
      </w:r>
      <w:r>
        <w:rPr>
          <w:color w:val="0000FF"/>
          <w:u w:val="single"/>
        </w:rPr>
        <w:t>http://www.compaq.com</w:t>
      </w:r>
      <w:r>
        <w:rPr/>
        <w:t xml:space="preserve">.  Compaq markets its products and services primarily to customers from the business, home, government, and education sectors.  Customer support and information about Compaq and its products and services are available at </w:t>
      </w:r>
      <w:hyperlink r:id="rId4">
        <w:r>
          <w:rPr>
            <w:rStyle w:val="Hyperlink"/>
          </w:rPr>
          <w:t>http://www.compaq.com</w:t>
        </w:r>
      </w:hyperlink>
      <w:r>
        <w:rPr/>
        <w:t xml:space="preserve">. </w:t>
      </w:r>
    </w:p>
    <w:p>
      <w:pPr>
        <w:pStyle w:val="Normal"/>
        <w:rPr>
          <w:sz w:val="16"/>
        </w:rPr>
      </w:pPr>
      <w:r>
        <w:rPr>
          <w:sz w:val="16"/>
        </w:rPr>
        <w:t>Compaq and the Compaq logo Registered U.S. Patent and Trademark Office.  Product names mentioned herein may be trademarks and/or registered trademarks of their respective companies.  This financial discussion contains forward-looking statements based on current expectations that involve a number of risks and uncertainties.  The potential risks and uncertainties that could cause actual results to differ materially include:  delays in the implementation of changes in delivery models, component shortages, increased competitive environment and pricing pressures, delays in product rollout schedules, slow acceptance for new form factors, changes in product, customer and geographic sales mix, employee retention, the financial condition of resellers, delays in new systems implementation, operational inefficiencies related to sales cycles, equity investment volatility, emerging market political or economic instability and disruptions related to restructuring actions.  Further information on the factors that could affect Compaq's financial results is included in Compaq’s Securities and Exchange Commission (SEC) filings, including the latest Annual Report on Form 10-K and the latest quarterly report on Form 10-Q</w:t>
      </w:r>
    </w:p>
    <w:p>
      <w:pPr>
        <w:pStyle w:val="Contacts"/>
        <w:rPr>
          <w:sz w:val="16"/>
        </w:rPr>
      </w:pPr>
      <w:r>
        <w:rPr>
          <w:sz w:val="16"/>
        </w:rPr>
      </w:r>
    </w:p>
    <w:p>
      <w:pPr>
        <w:pStyle w:val="Contacts"/>
        <w:rPr>
          <w:b/>
        </w:rPr>
      </w:pPr>
      <w:r>
        <w:rPr>
          <w:b/>
        </w:rPr>
      </w:r>
    </w:p>
    <w:p>
      <w:pPr>
        <w:pStyle w:val="Contacts"/>
        <w:rPr>
          <w:b/>
        </w:rPr>
      </w:pPr>
      <w:r>
        <w:rPr>
          <w:b/>
        </w:rPr>
        <w:t>For further editorial information, contact:</w:t>
      </w:r>
    </w:p>
    <w:p>
      <w:pPr>
        <w:pStyle w:val="Contacts"/>
        <w:tabs>
          <w:tab w:val="clear" w:pos="2520"/>
          <w:tab w:val="left" w:pos="2880" w:leader="none"/>
          <w:tab w:val="left" w:pos="4320" w:leader="none"/>
          <w:tab w:val="left" w:pos="5760" w:leader="none"/>
        </w:tabs>
        <w:rPr>
          <w:b/>
        </w:rPr>
      </w:pPr>
      <w:r>
        <w:rPr>
          <w:b/>
        </w:rPr>
      </w:r>
    </w:p>
    <w:p>
      <w:pPr>
        <w:pStyle w:val="Contacts"/>
        <w:tabs>
          <w:tab w:val="clear" w:pos="2520"/>
          <w:tab w:val="left" w:pos="2880" w:leader="none"/>
          <w:tab w:val="left" w:pos="4320" w:leader="none"/>
          <w:tab w:val="left" w:pos="5760" w:leader="none"/>
        </w:tabs>
        <w:rPr>
          <w:sz w:val="20"/>
        </w:rPr>
      </w:pPr>
      <w:r>
        <w:rPr>
          <w:sz w:val="20"/>
        </w:rPr>
        <w:t>Compaq Computer Corporation</w:t>
        <w:tab/>
        <w:t>Grace Trent</w:t>
        <w:tab/>
        <w:tab/>
        <w:t>281-518-9460</w:t>
        <w:tab/>
        <w:t>grace.trent@compaq.com</w:t>
      </w:r>
    </w:p>
    <w:p>
      <w:pPr>
        <w:pStyle w:val="Contacts"/>
        <w:tabs>
          <w:tab w:val="clear" w:pos="2520"/>
          <w:tab w:val="left" w:pos="2880" w:leader="none"/>
          <w:tab w:val="left" w:pos="4320" w:leader="none"/>
          <w:tab w:val="left" w:pos="5760" w:leader="none"/>
        </w:tabs>
        <w:rPr>
          <w:sz w:val="20"/>
        </w:rPr>
      </w:pPr>
      <w:r>
        <w:rPr>
          <w:sz w:val="20"/>
        </w:rPr>
        <w:tab/>
        <w:t>Arch Currid</w:t>
        <w:tab/>
        <w:tab/>
        <w:t>281-927-8005</w:t>
        <w:tab/>
        <w:t>arch.currid@compaq.com</w:t>
      </w:r>
    </w:p>
    <w:p>
      <w:pPr>
        <w:pStyle w:val="Contacts"/>
        <w:tabs>
          <w:tab w:val="clear" w:pos="2520"/>
          <w:tab w:val="left" w:pos="2880" w:leader="none"/>
          <w:tab w:val="left" w:pos="4320" w:leader="none"/>
          <w:tab w:val="left" w:pos="5760" w:leader="none"/>
        </w:tabs>
        <w:rPr>
          <w:sz w:val="20"/>
        </w:rPr>
      </w:pPr>
      <w:r>
        <w:rPr>
          <w:sz w:val="20"/>
        </w:rPr>
        <w:t>Hill &amp; Knowlton for Compaq</w:t>
        <w:tab/>
        <w:t>Chip Sheller</w:t>
        <w:tab/>
        <w:tab/>
        <w:t xml:space="preserve">281-518-1748 </w:t>
        <w:tab/>
      </w:r>
      <w:hyperlink r:id="rId5">
        <w:r>
          <w:rPr>
            <w:rStyle w:val="Hyperlink"/>
            <w:sz w:val="20"/>
          </w:rPr>
          <w:t>chip.sheller@compaq.com</w:t>
        </w:r>
      </w:hyperlink>
    </w:p>
    <w:p>
      <w:pPr>
        <w:pStyle w:val="Contacts"/>
        <w:tabs>
          <w:tab w:val="clear" w:pos="2520"/>
          <w:tab w:val="left" w:pos="2880" w:leader="none"/>
          <w:tab w:val="left" w:pos="4320" w:leader="none"/>
          <w:tab w:val="left" w:pos="5760" w:leader="none"/>
        </w:tabs>
        <w:rPr>
          <w:sz w:val="20"/>
        </w:rPr>
      </w:pPr>
      <w:r>
        <w:rPr>
          <w:sz w:val="20"/>
        </w:rPr>
      </w:r>
    </w:p>
    <w:p>
      <w:pPr>
        <w:pStyle w:val="Contacts"/>
        <w:tabs>
          <w:tab w:val="clear" w:pos="2520"/>
          <w:tab w:val="left" w:pos="2880" w:leader="none"/>
          <w:tab w:val="left" w:pos="4320" w:leader="none"/>
          <w:tab w:val="left" w:pos="5760" w:leader="none"/>
        </w:tabs>
        <w:rPr>
          <w:sz w:val="20"/>
        </w:rPr>
      </w:pPr>
      <w:r>
        <w:rPr>
          <w:sz w:val="20"/>
        </w:rPr>
        <w:t>Compaq Media Hotline</w:t>
        <w:tab/>
        <w:tab/>
        <w:tab/>
        <w:t>281-514-0484</w:t>
      </w:r>
    </w:p>
    <w:p>
      <w:pPr>
        <w:pStyle w:val="Contacts"/>
        <w:tabs>
          <w:tab w:val="clear" w:pos="2520"/>
          <w:tab w:val="left" w:pos="2880" w:leader="none"/>
          <w:tab w:val="left" w:pos="4320" w:leader="none"/>
          <w:tab w:val="left" w:pos="5760" w:leader="none"/>
        </w:tabs>
        <w:rPr>
          <w:sz w:val="20"/>
        </w:rPr>
      </w:pPr>
      <w:r>
        <w:rPr>
          <w:sz w:val="20"/>
        </w:rPr>
      </w:r>
    </w:p>
    <w:p>
      <w:pPr>
        <w:pStyle w:val="Contacts"/>
        <w:tabs>
          <w:tab w:val="clear" w:pos="2520"/>
          <w:tab w:val="left" w:pos="2880" w:leader="none"/>
          <w:tab w:val="left" w:pos="4320" w:leader="none"/>
          <w:tab w:val="left" w:pos="5760" w:leader="none"/>
        </w:tabs>
        <w:jc w:val="center"/>
        <w:rPr/>
      </w:pPr>
      <w:r>
        <w:rPr/>
      </w:r>
    </w:p>
    <w:p>
      <w:pPr>
        <w:pStyle w:val="Contacts"/>
        <w:tabs>
          <w:tab w:val="clear" w:pos="2520"/>
          <w:tab w:val="left" w:pos="2880" w:leader="none"/>
          <w:tab w:val="left" w:pos="4320" w:leader="none"/>
          <w:tab w:val="left" w:pos="5760" w:leader="none"/>
        </w:tabs>
        <w:jc w:val="center"/>
        <w:rPr/>
      </w:pPr>
      <w:r>
        <w:rPr/>
      </w:r>
    </w:p>
    <w:p>
      <w:pPr>
        <w:pStyle w:val="Contacts"/>
        <w:tabs>
          <w:tab w:val="clear" w:pos="2520"/>
          <w:tab w:val="left" w:pos="2880" w:leader="none"/>
          <w:tab w:val="left" w:pos="4320" w:leader="none"/>
          <w:tab w:val="left" w:pos="5760" w:leader="none"/>
        </w:tabs>
        <w:jc w:val="center"/>
        <w:rPr/>
      </w:pPr>
      <w:r>
        <w:rPr/>
        <w:t xml:space="preserve"># # # </w:t>
      </w:r>
    </w:p>
    <w:p>
      <w:pPr>
        <w:pStyle w:val="Contacts"/>
        <w:tabs>
          <w:tab w:val="clear" w:pos="2520"/>
          <w:tab w:val="left" w:pos="2880" w:leader="none"/>
          <w:tab w:val="left" w:pos="4320" w:leader="none"/>
          <w:tab w:val="left" w:pos="5760" w:leader="none"/>
        </w:tabs>
        <w:rPr/>
      </w:pPr>
      <w:r>
        <w:rPr/>
      </w:r>
    </w:p>
    <w:p>
      <w:pPr>
        <w:pStyle w:val="Contacts"/>
        <w:tabs>
          <w:tab w:val="clear" w:pos="2520"/>
          <w:tab w:val="left" w:pos="2880" w:leader="none"/>
          <w:tab w:val="left" w:pos="4320" w:leader="none"/>
          <w:tab w:val="left" w:pos="5760" w:leader="none"/>
        </w:tabs>
        <w:rPr/>
      </w:pPr>
      <w:r>
        <w:rPr/>
        <w:tab/>
        <w:tab/>
      </w:r>
    </w:p>
    <w:p>
      <w:pPr>
        <w:pStyle w:val="Contacts"/>
        <w:tabs>
          <w:tab w:val="clear" w:pos="2520"/>
          <w:tab w:val="left" w:pos="2880" w:leader="none"/>
          <w:tab w:val="left" w:pos="4320" w:leader="none"/>
          <w:tab w:val="left" w:pos="5760" w:leader="none"/>
        </w:tabs>
        <w:rPr/>
      </w:pPr>
      <w:r>
        <w:rPr/>
        <w:tab/>
        <w:tab/>
        <w:tab/>
        <w:tab/>
        <w:tab/>
        <w:tab/>
        <w:tab/>
      </w:r>
    </w:p>
    <w:sectPr>
      <w:footerReference w:type="default" r:id="rId6"/>
      <w:type w:val="nextPage"/>
      <w:pgSz w:w="12240" w:h="15840"/>
      <w:pgMar w:left="1440" w:right="1440" w:gutter="0" w:header="0" w:top="1440" w:footer="706" w:bottom="7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spacing w:lineRule="auto" w:line="360"/>
      <w:outlineLvl w:val="1"/>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360"/>
      <w:ind w:firstLine="432" w:start="0" w:end="0"/>
    </w:pPr>
    <w:rPr/>
  </w:style>
  <w:style w:type="paragraph" w:styleId="Footer">
    <w:name w:val="footer"/>
    <w:basedOn w:val="Normal"/>
    <w:pPr>
      <w:tabs>
        <w:tab w:val="clear" w:pos="720"/>
        <w:tab w:val="center" w:pos="4320" w:leader="none"/>
        <w:tab w:val="right" w:pos="8640" w:leader="none"/>
      </w:tabs>
      <w:spacing w:lineRule="auto" w:line="360"/>
      <w:ind w:firstLine="432" w:start="0" w:end="0"/>
    </w:pPr>
    <w:rPr/>
  </w:style>
  <w:style w:type="paragraph" w:styleId="FootnoteText">
    <w:name w:val="footnote text"/>
    <w:basedOn w:val="Normal"/>
    <w:pPr>
      <w:spacing w:lineRule="auto" w:line="360"/>
      <w:ind w:firstLine="432" w:start="0" w:end="0"/>
    </w:pPr>
    <w:rPr/>
  </w:style>
  <w:style w:type="paragraph" w:styleId="SummaryBullets">
    <w:name w:val="Summary Bullets"/>
    <w:basedOn w:val="Normal"/>
    <w:qFormat/>
    <w:pPr>
      <w:pBdr>
        <w:top w:val="single" w:sz="6" w:space="1" w:color="000000"/>
        <w:left w:val="single" w:sz="6" w:space="1" w:color="000000"/>
        <w:bottom w:val="single" w:sz="6" w:space="1" w:color="000000"/>
        <w:right w:val="single" w:sz="6" w:space="1" w:color="000000"/>
      </w:pBdr>
      <w:tabs>
        <w:tab w:val="clear" w:pos="720"/>
        <w:tab w:val="left" w:pos="270" w:leader="none"/>
        <w:tab w:val="left" w:pos="540" w:leader="none"/>
      </w:tabs>
      <w:ind w:hanging="720" w:start="720" w:end="0"/>
    </w:pPr>
    <w:rPr/>
  </w:style>
  <w:style w:type="paragraph" w:styleId="Headline">
    <w:name w:val="Headline"/>
    <w:basedOn w:val="Normal"/>
    <w:qFormat/>
    <w:pPr>
      <w:spacing w:before="360" w:after="360"/>
      <w:jc w:val="center"/>
    </w:pPr>
    <w:rPr>
      <w:b/>
      <w:sz w:val="36"/>
    </w:rPr>
  </w:style>
  <w:style w:type="paragraph" w:styleId="ReleaseNote">
    <w:name w:val="Release Note"/>
    <w:basedOn w:val="Normal"/>
    <w:qFormat/>
    <w:pPr>
      <w:spacing w:lineRule="auto" w:line="360"/>
    </w:pPr>
    <w:rPr>
      <w:b/>
      <w:u w:val="single"/>
    </w:rPr>
  </w:style>
  <w:style w:type="paragraph" w:styleId="SubHead">
    <w:name w:val="SubHead"/>
    <w:basedOn w:val="Normal"/>
    <w:qFormat/>
    <w:pPr>
      <w:spacing w:lineRule="auto" w:line="360" w:before="0" w:after="360"/>
      <w:jc w:val="center"/>
    </w:pPr>
    <w:rPr>
      <w:b/>
      <w:sz w:val="28"/>
    </w:rPr>
  </w:style>
  <w:style w:type="paragraph" w:styleId="SectionBreak">
    <w:name w:val="Section Break"/>
    <w:basedOn w:val="Normal"/>
    <w:qFormat/>
    <w:pPr>
      <w:keepNext w:val="true"/>
      <w:spacing w:lineRule="auto" w:line="360" w:before="240" w:after="0"/>
    </w:pPr>
    <w:rPr>
      <w:b/>
    </w:rPr>
  </w:style>
  <w:style w:type="paragraph" w:styleId="Contacts">
    <w:name w:val="Contacts"/>
    <w:basedOn w:val="Normal"/>
    <w:qFormat/>
    <w:pPr>
      <w:keepNext w:val="true"/>
      <w:tabs>
        <w:tab w:val="clear" w:pos="720"/>
        <w:tab w:val="left" w:pos="2520" w:leader="none"/>
        <w:tab w:val="left" w:pos="4320" w:leader="none"/>
        <w:tab w:val="left" w:pos="5760" w:leader="none"/>
      </w:tabs>
    </w:pPr>
    <w:rPr>
      <w:sz w:val="16"/>
    </w:rPr>
  </w:style>
  <w:style w:type="paragraph" w:styleId="BodyTextIndent">
    <w:name w:val="Body Text Indent"/>
    <w:basedOn w:val="Normal"/>
    <w:pPr>
      <w:spacing w:lineRule="auto" w:line="360"/>
      <w:ind w:firstLine="720" w:start="0" w:end="0"/>
    </w:pPr>
    <w:rPr/>
  </w:style>
  <w:style w:type="paragraph" w:styleId="BodyText2">
    <w:name w:val="Body Text 2"/>
    <w:basedOn w:val="Normal"/>
    <w:qFormat/>
    <w:pPr>
      <w:spacing w:lineRule="auto" w:line="360"/>
    </w:pPr>
    <w:rPr>
      <w:u w:val="single"/>
    </w:rPr>
  </w:style>
  <w:style w:type="paragraph" w:styleId="NormalWeb">
    <w:name w:val="Normal (Web)"/>
    <w:basedOn w:val="Normal"/>
    <w:qFormat/>
    <w:pPr>
      <w:spacing w:before="100" w:after="100"/>
    </w:pPr>
    <w:rPr>
      <w:rFonts w:ascii="Arial Unicode MS" w:hAnsi="Arial Unicode MS" w:eastAsia="Arial Unicode MS" w:cs="Courier New"/>
      <w:color w:val="333333"/>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5.compaq.com/corporate/ir/" TargetMode="External"/><Relationship Id="rId4" Type="http://schemas.openxmlformats.org/officeDocument/2006/relationships/hyperlink" Target="http://www.compaq.com/" TargetMode="External"/><Relationship Id="rId5" Type="http://schemas.openxmlformats.org/officeDocument/2006/relationships/hyperlink" Target="mailto:chip.sheller@compaq.com"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VisionBrandrelease1.doc.dot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2000-10-03T17:52:00Z</dcterms:created>
  <dc:creator>Richard Fly</dc:creator>
  <dc:description/>
  <dc:language>en-CA</dc:language>
  <cp:lastModifiedBy>TSiekman</cp:lastModifiedBy>
  <cp:lastPrinted>2000-10-03T13:13:00Z</cp:lastPrinted>
  <dcterms:modified xsi:type="dcterms:W3CDTF">2000-10-04T15:37:00Z</dcterms:modified>
  <cp:revision>6</cp:revision>
  <dc:subject/>
  <dc:title>Compaq Computer Corporation</dc:title>
</cp:coreProperties>
</file>