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7200" w:leader="none"/>
        </w:tabs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Shaleen Annette Miller</w:t>
      </w:r>
    </w:p>
    <w:p>
      <w:pPr>
        <w:pStyle w:val="Heading1"/>
        <w:ind w:hanging="0" w:start="0"/>
        <w:rPr>
          <w:rFonts w:ascii="Arial" w:hAnsi="Arial" w:cs="Arial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4100 Greenbriar Apt 203</w:t>
      </w:r>
    </w:p>
    <w:p>
      <w:pPr>
        <w:pStyle w:val="Normal"/>
        <w:widowControl w:val="false"/>
        <w:pBdr>
          <w:bottom w:val="single" w:sz="8" w:space="1" w:color="000000"/>
        </w:pBd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Houston, TX 77098</w:t>
      </w:r>
    </w:p>
    <w:p>
      <w:pPr>
        <w:pStyle w:val="Normal"/>
        <w:widowControl w:val="false"/>
        <w:pBdr>
          <w:bottom w:val="single" w:sz="8" w:space="1" w:color="000000"/>
        </w:pBd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wk (713) 345-3176   </w:t>
      </w:r>
    </w:p>
    <w:p>
      <w:pPr>
        <w:pStyle w:val="Normal"/>
        <w:widowControl w:val="false"/>
        <w:pBdr>
          <w:bottom w:val="single" w:sz="8" w:space="1" w:color="000000"/>
        </w:pBd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hm (713) 528-8283  </w:t>
      </w:r>
    </w:p>
    <w:p>
      <w:pPr>
        <w:pStyle w:val="Normal"/>
        <w:widowControl w:val="false"/>
        <w:pBdr>
          <w:bottom w:val="single" w:sz="8" w:space="1" w:color="000000"/>
        </w:pBd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smiller8@enron.com</w:t>
      </w:r>
    </w:p>
    <w:p>
      <w:pPr>
        <w:pStyle w:val="Normal"/>
        <w:widowControl w:val="false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cs="Arial" w:ascii="Arial" w:hAnsi="Arial"/>
          <w:color w:val="000000"/>
          <w:sz w:val="22"/>
          <w:szCs w:val="22"/>
        </w:rPr>
        <w:tab/>
        <w:tab/>
      </w:r>
    </w:p>
    <w:p>
      <w:pPr>
        <w:pStyle w:val="Heading2"/>
        <w:ind w:hanging="0" w:start="0"/>
        <w:rPr/>
      </w:pPr>
      <w:r>
        <w:rPr>
          <w:rFonts w:cs="Arial" w:ascii="Arial" w:hAnsi="Arial"/>
        </w:rPr>
        <w:t>Experience:</w:t>
        <w:tab/>
        <w:tab/>
        <w:t xml:space="preserve">Enron- Enron Energy Services </w:t>
        <w:tab/>
      </w:r>
      <w:r>
        <w:rPr>
          <w:rFonts w:cs="Arial" w:ascii="Arial" w:hAnsi="Arial"/>
          <w:b w:val="false"/>
          <w:bCs w:val="false"/>
        </w:rPr>
        <w:t>Houston, TX</w:t>
      </w:r>
    </w:p>
    <w:p>
      <w:pPr>
        <w:pStyle w:val="Normal"/>
        <w:widowControl w:val="false"/>
        <w:rPr/>
      </w:pPr>
      <w:r>
        <w:rPr>
          <w:rFonts w:cs="Arial" w:ascii="Arial" w:hAnsi="Arial"/>
          <w:color w:val="000000"/>
          <w:sz w:val="22"/>
          <w:szCs w:val="22"/>
        </w:rPr>
        <w:t>April 2001-present</w:t>
      </w:r>
      <w:r>
        <w:rPr>
          <w:rFonts w:cs="Arial" w:ascii="Arial" w:hAnsi="Arial"/>
          <w:b/>
          <w:bCs/>
          <w:color w:val="000000"/>
          <w:sz w:val="22"/>
          <w:szCs w:val="22"/>
        </w:rPr>
        <w:tab/>
      </w:r>
      <w:r>
        <w:rPr>
          <w:rFonts w:cs="Arial" w:ascii="Arial" w:hAnsi="Arial"/>
          <w:i/>
          <w:iCs/>
          <w:color w:val="000000"/>
          <w:sz w:val="22"/>
          <w:szCs w:val="22"/>
        </w:rPr>
        <w:t>Service Management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Acting as point of contact for A/R (discrepancies, overdue, stat order numbers)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Centralizing deal data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Transitioning deals into Access for reporting purposes (Springs, EOP)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Began process of Baseline Maintenance (including: Tyco, Springs, Polaroid, &amp; Ridge Tool adjustments)</w:t>
      </w:r>
    </w:p>
    <w:p>
      <w:pPr>
        <w:pStyle w:val="Normal"/>
        <w:widowControl w:val="fals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widowControl w:val="false"/>
        <w:ind w:firstLine="720" w:start="1440" w:end="0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>SmartMail of Austin</w:t>
        <w:tab/>
        <w:tab/>
        <w:tab/>
      </w:r>
      <w:r>
        <w:rPr>
          <w:rFonts w:cs="Arial" w:ascii="Arial" w:hAnsi="Arial"/>
          <w:color w:val="000000"/>
          <w:sz w:val="22"/>
          <w:szCs w:val="22"/>
        </w:rPr>
        <w:t>Austin, TX</w:t>
      </w:r>
    </w:p>
    <w:p>
      <w:pPr>
        <w:pStyle w:val="Normal"/>
        <w:widowControl w:val="false"/>
        <w:rPr/>
      </w:pPr>
      <w:r>
        <w:rPr>
          <w:rFonts w:cs="Arial" w:ascii="Arial" w:hAnsi="Arial"/>
          <w:color w:val="000000"/>
          <w:sz w:val="22"/>
          <w:szCs w:val="22"/>
        </w:rPr>
        <w:t>Summer 2000</w:t>
        <w:tab/>
        <w:tab/>
      </w:r>
      <w:r>
        <w:rPr>
          <w:rFonts w:cs="Arial" w:ascii="Arial" w:hAnsi="Arial"/>
          <w:i/>
          <w:iCs/>
          <w:color w:val="000000"/>
          <w:sz w:val="22"/>
          <w:szCs w:val="22"/>
        </w:rPr>
        <w:t>Intern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Updated and reconciled new accounting system 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Revised and updated pricing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Conducted employee and customer surveys</w:t>
      </w:r>
    </w:p>
    <w:p>
      <w:pPr>
        <w:pStyle w:val="Normal"/>
        <w:widowControl w:val="false"/>
        <w:ind w:firstLine="720" w:start="720" w:end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widowControl w:val="false"/>
        <w:ind w:firstLine="720" w:start="1440" w:end="0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>Johnson &amp; Johnson Medical</w:t>
        <w:tab/>
      </w:r>
      <w:r>
        <w:rPr>
          <w:rFonts w:cs="Arial" w:ascii="Arial" w:hAnsi="Arial"/>
          <w:color w:val="000000"/>
          <w:sz w:val="22"/>
          <w:szCs w:val="22"/>
        </w:rPr>
        <w:t>Sherman, TX</w:t>
      </w:r>
    </w:p>
    <w:p>
      <w:pPr>
        <w:pStyle w:val="Normal"/>
        <w:widowControl w:val="false"/>
        <w:rPr/>
      </w:pPr>
      <w:r>
        <w:rPr>
          <w:rFonts w:cs="Arial" w:ascii="Arial" w:hAnsi="Arial"/>
          <w:color w:val="000000"/>
          <w:sz w:val="22"/>
          <w:szCs w:val="22"/>
        </w:rPr>
        <w:t>Summer 1999</w:t>
      </w:r>
      <w:r>
        <w:rPr>
          <w:rFonts w:cs="Arial" w:ascii="Arial" w:hAnsi="Arial"/>
          <w:b/>
          <w:bCs/>
          <w:color w:val="000000"/>
          <w:sz w:val="22"/>
          <w:szCs w:val="22"/>
        </w:rPr>
        <w:tab/>
        <w:tab/>
      </w:r>
      <w:r>
        <w:rPr>
          <w:rFonts w:cs="Arial" w:ascii="Arial" w:hAnsi="Arial"/>
          <w:i/>
          <w:iCs/>
          <w:color w:val="000000"/>
          <w:sz w:val="22"/>
          <w:szCs w:val="22"/>
        </w:rPr>
        <w:t>Finance Intern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Coordinated project schedules &amp; budgets for approx. 20 projects 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Restructured system for keeping balance sheet reconciliations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Assisted in payroll, cost accounting, and budget planning</w:t>
      </w:r>
    </w:p>
    <w:p>
      <w:pPr>
        <w:pStyle w:val="Normal"/>
        <w:widowControl w:val="fals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widowControl w:val="fals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widowControl w:val="false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>Education:</w:t>
      </w:r>
      <w:r>
        <w:rPr>
          <w:rFonts w:cs="Arial" w:ascii="Arial" w:hAnsi="Arial"/>
          <w:color w:val="000000"/>
          <w:sz w:val="22"/>
          <w:szCs w:val="22"/>
        </w:rPr>
        <w:tab/>
        <w:tab/>
        <w:t xml:space="preserve">The University of Texas at Austin           </w:t>
        <w:tab/>
        <w:t>Dec., 2000</w:t>
      </w:r>
    </w:p>
    <w:p>
      <w:pPr>
        <w:pStyle w:val="Normal"/>
        <w:widowControl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ab/>
        <w:tab/>
        <w:tab/>
        <w:t>Bachelor of Business Administration</w:t>
      </w:r>
    </w:p>
    <w:p>
      <w:pPr>
        <w:pStyle w:val="Normal"/>
        <w:widowControl w:val="false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cs="Arial" w:ascii="Arial" w:hAnsi="Arial"/>
          <w:color w:val="000000"/>
          <w:sz w:val="22"/>
          <w:szCs w:val="22"/>
        </w:rPr>
        <w:tab/>
        <w:tab/>
        <w:tab/>
        <w:t>Major:  Business Honors &amp; Finance</w:t>
        <w:tab/>
        <w:tab/>
        <w:t>GPA: 4.0 / 4.0</w:t>
      </w:r>
    </w:p>
    <w:p>
      <w:pPr>
        <w:pStyle w:val="Normal"/>
        <w:widowControl w:val="false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single"/>
        </w:rPr>
      </w:r>
    </w:p>
    <w:p>
      <w:pPr>
        <w:pStyle w:val="Normal"/>
        <w:widowControl w:val="false"/>
        <w:ind w:firstLine="720" w:end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ab/>
        <w:tab/>
        <w:t>The National University of Singapore Exchange Student, Spring 2000</w:t>
      </w:r>
    </w:p>
    <w:p>
      <w:pPr>
        <w:pStyle w:val="BodyTextIndent"/>
        <w:rPr>
          <w:i/>
          <w:i/>
          <w:iCs/>
          <w:szCs w:val="22"/>
        </w:rPr>
      </w:pPr>
      <w:r>
        <w:rPr/>
        <w:t>Participated in exchange program in Singapore with complementary coursework &amp; travels</w:t>
      </w:r>
    </w:p>
    <w:p>
      <w:pPr>
        <w:pStyle w:val="Normal"/>
        <w:widowControl w:val="false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</w:r>
    </w:p>
    <w:p>
      <w:pPr>
        <w:pStyle w:val="Normal"/>
        <w:widowControl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Computer Skills:</w:t>
      </w:r>
    </w:p>
    <w:p>
      <w:pPr>
        <w:pStyle w:val="Normal"/>
        <w:widowControl w:val="false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Proficient with Microsoft Office &amp; Corel/Borland Office Suites</w:t>
      </w:r>
    </w:p>
    <w:p>
      <w:pPr>
        <w:pStyle w:val="Normal"/>
        <w:widowControl w:val="false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Extensive experience with Microsoft Project &amp; Microsoft Access</w:t>
      </w:r>
    </w:p>
    <w:p>
      <w:pPr>
        <w:pStyle w:val="Normal"/>
        <w:widowControl w:val="false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Experience with HTML &amp; building web pages, including FrontPage</w:t>
      </w:r>
    </w:p>
    <w:p>
      <w:pPr>
        <w:pStyle w:val="Normal"/>
        <w:widowControl w:val="false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Varying competence with @Risk, Precision Tree, StatPro, and Solver Add-Ins for Excel</w:t>
      </w:r>
    </w:p>
    <w:p>
      <w:pPr>
        <w:pStyle w:val="Normal"/>
        <w:widowControl w:val="false"/>
        <w:ind w:hanging="1440" w:start="1440" w:end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widowControl w:val="false"/>
        <w:ind w:hanging="1440" w:start="1440" w:end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Additional:</w:t>
        <w:tab/>
      </w:r>
    </w:p>
    <w:p>
      <w:pPr>
        <w:pStyle w:val="Normal"/>
        <w:widowControl w:val="false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Enron training</w:t>
      </w:r>
      <w:r>
        <w:rPr>
          <w:rFonts w:cs="Arial" w:ascii="Arial" w:hAnsi="Arial"/>
          <w:color w:val="000000"/>
          <w:sz w:val="22"/>
          <w:szCs w:val="22"/>
        </w:rPr>
        <w:t>: Basic Gas, CMS training, Access: Intro, Queries, &amp; Reports</w:t>
      </w:r>
    </w:p>
    <w:p>
      <w:pPr>
        <w:pStyle w:val="Normal"/>
        <w:widowControl w:val="false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Other major course work includes: Marketing Research, Management Science, Operations Management, Perception, Asia Pacific Business &amp; other Asian specifics</w:t>
      </w:r>
    </w:p>
    <w:p>
      <w:pPr>
        <w:pStyle w:val="Normal"/>
        <w:widowControl w:val="false"/>
        <w:ind w:hanging="2160" w:start="2160" w:end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widowControl w:val="false"/>
        <w:ind w:hanging="2160" w:start="2160" w:end="0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>Honors:</w:t>
      </w:r>
      <w:r>
        <w:rPr>
          <w:rFonts w:cs="Arial" w:ascii="Arial" w:hAnsi="Arial"/>
          <w:color w:val="000000"/>
          <w:sz w:val="22"/>
          <w:szCs w:val="22"/>
        </w:rPr>
        <w:tab/>
        <w:t xml:space="preserve">Cargill Fellowship for Study Abroad 2000, University Honors (1997-2000), Golden Key Honor Society, National Merit Finalist &amp; Scholarship Recipient, Conoco Scholarship Recipient 1997-8 </w:t>
      </w:r>
    </w:p>
    <w:p>
      <w:pPr>
        <w:pStyle w:val="Normal"/>
        <w:widowControl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152" w:footer="112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320" w:leader="none"/>
        <w:tab w:val="right" w:pos="8640" w:leader="none"/>
      </w:tabs>
      <w:rPr>
        <w:sz w:val="24"/>
        <w:szCs w:val="24"/>
      </w:rPr>
    </w:pPr>
    <w:r>
      <w:rPr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320" w:leader="none"/>
        <w:tab w:val="right" w:pos="8640" w:leader="none"/>
      </w:tabs>
      <w:rPr>
        <w:sz w:val="24"/>
        <w:szCs w:val="24"/>
      </w:rPr>
    </w:pPr>
    <w:r>
      <w:rPr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pBdr>
        <w:bottom w:val="single" w:sz="8" w:space="1" w:color="000000"/>
      </w:pBdr>
      <w:jc w:val="center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bCs/>
      <w:color w:val="000000"/>
      <w:sz w:val="22"/>
      <w:szCs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Times New Roma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widowControl w:val="false"/>
      <w:ind w:hanging="0" w:start="2160" w:end="0"/>
    </w:pPr>
    <w:rPr>
      <w:rFonts w:ascii="Arial" w:hAnsi="Arial" w:cs="Arial"/>
      <w:color w:val="00000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2001-07-03T12:51:00Z</dcterms:created>
  <dc:creator>Shaleen Miller</dc:creator>
  <dc:description/>
  <dc:language>en-CA</dc:language>
  <cp:lastModifiedBy>ljones3</cp:lastModifiedBy>
  <cp:lastPrinted>1999-02-06T19:33:00Z</cp:lastPrinted>
  <dcterms:modified xsi:type="dcterms:W3CDTF">2001-07-03T12:51:00Z</dcterms:modified>
  <cp:revision>2</cp:revision>
  <dc:subject/>
  <dc:title>Shaleen Miller</dc:title>
</cp:coreProperties>
</file>