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190" w:leader="none"/>
          <w:tab w:val="left" w:pos="846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t xml:space="preserve">                                                                              </w:t>
      </w:r>
      <w:r>
        <w:rPr>
          <w:rFonts w:cs="Times New Roman" w:ascii="Times New Roman" w:hAnsi="Times New Roman"/>
          <w:b/>
          <w:spacing w:val="-3"/>
          <w:sz w:val="22"/>
        </w:rPr>
        <w:t>SHAKA  JAGGI</w:t>
      </w:r>
    </w:p>
    <w:p>
      <w:pPr>
        <w:pStyle w:val="Normal"/>
        <w:suppressAutoHyphens w:val="true"/>
        <w:jc w:val="both"/>
        <w:rPr>
          <w:rFonts w:ascii="Times New Roman" w:hAnsi="Times New Roman" w:cs="Times New Roman"/>
          <w:b/>
          <w:spacing w:val="-3"/>
          <w:sz w:val="22"/>
          <w:u w:val="single"/>
        </w:rPr>
      </w:pPr>
      <w:r>
        <w:rPr>
          <w:rFonts w:cs="Times New Roman" w:ascii="Times New Roman" w:hAnsi="Times New Roman"/>
          <w:b/>
          <w:spacing w:val="-3"/>
          <w:sz w:val="22"/>
          <w:u w:val="single"/>
        </w:rPr>
      </w:r>
    </w:p>
    <w:p>
      <w:pPr>
        <w:pStyle w:val="Heading1"/>
        <w:ind w:hanging="0" w:start="0"/>
        <w:rPr/>
      </w:pPr>
      <w:r>
        <w:rPr/>
        <w:t xml:space="preserve">1919 Post Oak Park Drive, </w:t>
        <w:tab/>
        <w:tab/>
        <w:tab/>
        <w:tab/>
        <w:tab/>
        <w:tab/>
        <w:tab/>
        <w:tab/>
        <w:t>shaka_jaggi@yahoo.com</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u w:val="single"/>
        </w:rPr>
        <w:t xml:space="preserve"> </w:t>
      </w:r>
      <w:r>
        <w:rPr>
          <w:rFonts w:cs="Times New Roman" w:ascii="Times New Roman" w:hAnsi="Times New Roman"/>
          <w:b/>
          <w:spacing w:val="-3"/>
          <w:sz w:val="22"/>
          <w:u w:val="single"/>
        </w:rPr>
        <w:t xml:space="preserve">#4308, Houston, Texas 77027 </w:t>
        <w:tab/>
        <w:tab/>
        <w:tab/>
        <w:tab/>
        <w:t xml:space="preserve">        </w:t>
        <w:tab/>
        <w:tab/>
        <w:tab/>
        <w:tab/>
        <w:t xml:space="preserve">      Tel. #  (713) 539-9915</w:t>
      </w:r>
    </w:p>
    <w:p>
      <w:pPr>
        <w:pStyle w:val="Normal"/>
        <w:suppressAutoHyphens w:val="true"/>
        <w:jc w:val="both"/>
        <w:rPr>
          <w:rFonts w:ascii="Times New Roman" w:hAnsi="Times New Roman" w:cs="Times New Roman"/>
          <w:b/>
          <w:spacing w:val="-3"/>
          <w:sz w:val="22"/>
          <w:u w:val="single"/>
        </w:rPr>
      </w:pPr>
      <w:r>
        <w:rPr>
          <w:rFonts w:cs="Times New Roman" w:ascii="Times New Roman" w:hAnsi="Times New Roman"/>
          <w:b/>
          <w:spacing w:val="-3"/>
          <w:sz w:val="22"/>
          <w:u w:val="single"/>
        </w:rPr>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u w:val="single"/>
        </w:rPr>
        <w:t>Experience:</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ind w:hanging="1440" w:start="1440" w:end="0"/>
        <w:jc w:val="both"/>
        <w:rPr>
          <w:rFonts w:ascii="Times New Roman" w:hAnsi="Times New Roman" w:cs="Times New Roman"/>
          <w:b/>
          <w:spacing w:val="-3"/>
          <w:sz w:val="22"/>
        </w:rPr>
      </w:pPr>
      <w:r>
        <w:rPr>
          <w:rFonts w:cs="Times New Roman" w:ascii="Times New Roman" w:hAnsi="Times New Roman"/>
          <w:b/>
          <w:spacing w:val="-3"/>
          <w:sz w:val="22"/>
        </w:rPr>
        <w:t>8/99 – Present</w:t>
        <w:tab/>
        <w:t>ZENAX TECHNOLOGIES, LLC</w:t>
        <w:tab/>
        <w:tab/>
        <w:tab/>
        <w:tab/>
        <w:tab/>
        <w:t xml:space="preserve">         HOUSTON, TEXAS Founder and Chief Executive Officer</w:t>
      </w:r>
    </w:p>
    <w:p>
      <w:pPr>
        <w:pStyle w:val="Normal"/>
        <w:numPr>
          <w:ilvl w:val="0"/>
          <w:numId w:val="5"/>
        </w:numPr>
        <w:tabs>
          <w:tab w:val="clear" w:pos="720"/>
          <w:tab w:val="left" w:pos="1620" w:leader="none"/>
        </w:tabs>
        <w:suppressAutoHyphens w:val="true"/>
        <w:ind w:hanging="180" w:start="1620" w:end="0"/>
        <w:jc w:val="both"/>
        <w:rPr>
          <w:rFonts w:ascii="Times New Roman" w:hAnsi="Times New Roman" w:cs="Times New Roman"/>
          <w:b/>
          <w:spacing w:val="-3"/>
          <w:sz w:val="22"/>
        </w:rPr>
      </w:pPr>
      <w:r>
        <w:rPr>
          <w:rFonts w:cs="Times New Roman" w:ascii="Times New Roman" w:hAnsi="Times New Roman"/>
          <w:bCs/>
          <w:spacing w:val="-3"/>
          <w:sz w:val="22"/>
        </w:rPr>
        <w:t>Founded Zenax Technologies, a software development company focused on providing mission-critical software services to enterprise and emerging customers in the areas of Internet technologies, wireless applications, and business information systems. This entailed offering a complete solution to the client from project management and architecture, to development and deployment of enterprise systems.</w:t>
      </w:r>
    </w:p>
    <w:p>
      <w:pPr>
        <w:pStyle w:val="Normal"/>
        <w:numPr>
          <w:ilvl w:val="0"/>
          <w:numId w:val="2"/>
        </w:numPr>
        <w:tabs>
          <w:tab w:val="clear" w:pos="720"/>
          <w:tab w:val="left" w:pos="1620" w:leader="none"/>
        </w:tabs>
        <w:suppressAutoHyphens w:val="true"/>
        <w:ind w:hanging="180" w:start="1620" w:end="0"/>
        <w:jc w:val="both"/>
        <w:rPr>
          <w:rFonts w:ascii="Times New Roman" w:hAnsi="Times New Roman" w:cs="Times New Roman"/>
          <w:b/>
          <w:spacing w:val="-3"/>
          <w:sz w:val="22"/>
        </w:rPr>
      </w:pPr>
      <w:r>
        <w:rPr>
          <w:rFonts w:cs="Times New Roman" w:ascii="Times New Roman" w:hAnsi="Times New Roman"/>
          <w:bCs/>
          <w:spacing w:val="-3"/>
          <w:sz w:val="22"/>
        </w:rPr>
        <w:t>Addressed all critical functions of a start-up, including capital raising, team building, business development, sales, operations and strategic planning. Grew the company to cash flow neutrality in less than one year.</w:t>
      </w:r>
    </w:p>
    <w:p>
      <w:pPr>
        <w:pStyle w:val="Normal"/>
        <w:numPr>
          <w:ilvl w:val="0"/>
          <w:numId w:val="5"/>
        </w:numPr>
        <w:tabs>
          <w:tab w:val="clear" w:pos="720"/>
          <w:tab w:val="left" w:pos="1620" w:leader="none"/>
        </w:tabs>
        <w:suppressAutoHyphens w:val="true"/>
        <w:ind w:hanging="180" w:start="1620" w:end="0"/>
        <w:jc w:val="both"/>
        <w:rPr>
          <w:rFonts w:ascii="Times New Roman" w:hAnsi="Times New Roman" w:cs="Times New Roman"/>
          <w:b/>
          <w:spacing w:val="-3"/>
          <w:sz w:val="22"/>
        </w:rPr>
      </w:pPr>
      <w:r>
        <w:rPr>
          <w:rFonts w:cs="Times New Roman" w:ascii="Times New Roman" w:hAnsi="Times New Roman"/>
          <w:bCs/>
          <w:spacing w:val="-3"/>
          <w:sz w:val="22"/>
        </w:rPr>
        <w:t>Acquired the contract to build the complete Risk Management &amp;Trading System for a major marketer of natural gas and electric power to the residential markets.</w:t>
      </w:r>
    </w:p>
    <w:p>
      <w:pPr>
        <w:pStyle w:val="Normal"/>
        <w:numPr>
          <w:ilvl w:val="0"/>
          <w:numId w:val="5"/>
        </w:numPr>
        <w:tabs>
          <w:tab w:val="clear" w:pos="720"/>
          <w:tab w:val="left" w:pos="1620" w:leader="none"/>
        </w:tabs>
        <w:suppressAutoHyphens w:val="true"/>
        <w:ind w:hanging="180" w:start="1620" w:end="0"/>
        <w:jc w:val="both"/>
        <w:rPr>
          <w:rFonts w:ascii="Times New Roman" w:hAnsi="Times New Roman" w:cs="Times New Roman"/>
          <w:b/>
          <w:spacing w:val="-3"/>
          <w:sz w:val="22"/>
        </w:rPr>
      </w:pPr>
      <w:r>
        <w:rPr>
          <w:rFonts w:cs="Times New Roman" w:ascii="Times New Roman" w:hAnsi="Times New Roman"/>
          <w:bCs/>
          <w:spacing w:val="-3"/>
          <w:sz w:val="22"/>
        </w:rPr>
        <w:t xml:space="preserve">The company has software development centers in Houston and New Delhi.  Built a high-end software development center in India, with the complete infrastructure to scale to over 150 people. Staffed the center with high caliber development teams and successfully serviced a Fortune 100 client from this center.  </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jc w:val="both"/>
        <w:rPr/>
      </w:pPr>
      <w:r>
        <w:rPr>
          <w:rFonts w:cs="Times New Roman" w:ascii="Times New Roman" w:hAnsi="Times New Roman"/>
          <w:b/>
          <w:spacing w:val="-3"/>
          <w:sz w:val="22"/>
        </w:rPr>
        <w:t>6/97 – 7/99</w:t>
        <w:tab/>
        <w:t xml:space="preserve">COMPAQ COMPUTER CORP. </w:t>
        <w:tab/>
        <w:tab/>
        <w:tab/>
        <w:tab/>
        <w:tab/>
        <w:t xml:space="preserve">          HOUSTON, TEXAS</w:t>
      </w:r>
      <w:r>
        <w:rPr>
          <w:rFonts w:cs="Times New Roman" w:ascii="Times New Roman" w:hAnsi="Times New Roman"/>
          <w:spacing w:val="-3"/>
          <w:sz w:val="22"/>
        </w:rPr>
        <w:t xml:space="preserve"> </w:t>
      </w:r>
    </w:p>
    <w:p>
      <w:pPr>
        <w:pStyle w:val="Heading2"/>
        <w:rPr/>
      </w:pPr>
      <w:r>
        <w:rPr/>
        <w:t>Director – Corporate Business Development &amp; Equity Investments</w:t>
      </w:r>
    </w:p>
    <w:p>
      <w:pPr>
        <w:pStyle w:val="Normal"/>
        <w:numPr>
          <w:ilvl w:val="0"/>
          <w:numId w:val="4"/>
        </w:numPr>
        <w:tabs>
          <w:tab w:val="clear" w:pos="720"/>
          <w:tab w:val="left" w:pos="1620" w:leader="none"/>
        </w:tabs>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 xml:space="preserve">Played a leading role in making venture investments in companies strategic to Compaq. This entailed, identifying and evaluating investment opportunities, conducting valuations and financial due diligence, structuring investments, negotiating technology rights and partnership agreements, and executing transactions. </w:t>
      </w:r>
    </w:p>
    <w:p>
      <w:pPr>
        <w:pStyle w:val="Normal"/>
        <w:numPr>
          <w:ilvl w:val="0"/>
          <w:numId w:val="4"/>
        </w:numPr>
        <w:tabs>
          <w:tab w:val="clear" w:pos="720"/>
          <w:tab w:val="left" w:pos="1440" w:leader="none"/>
          <w:tab w:val="left" w:pos="1620" w:leader="none"/>
        </w:tabs>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 xml:space="preserve">Responsible for post-investment management activities pertaining to portfolio companies. This entailed facilitating the porting of technology between the Portfolio Company and Compaq via strategic partnerships, assisting portfolio companies in forming alliances and partnerships in the industry, and assisting the company with various business development initiatives.       </w:t>
      </w:r>
    </w:p>
    <w:p>
      <w:pPr>
        <w:pStyle w:val="Normal"/>
        <w:numPr>
          <w:ilvl w:val="0"/>
          <w:numId w:val="4"/>
        </w:numPr>
        <w:tabs>
          <w:tab w:val="clear" w:pos="720"/>
          <w:tab w:val="left" w:pos="1440" w:leader="none"/>
          <w:tab w:val="left" w:pos="1620" w:leader="none"/>
          <w:tab w:val="left" w:pos="1800" w:leader="none"/>
        </w:tabs>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Evaluated in excess of 75 potential investments. Invested $21 million in 7 deals. Evaluated and executed investments in Internet communications, electronic commerce, enterprise software and semiconductor technology. Investments include CrossWorlds Software, Chromatic Research, Audible, Estamp, Extreme Networks and Concord Ventures.</w:t>
      </w:r>
    </w:p>
    <w:p>
      <w:pPr>
        <w:pStyle w:val="Normal"/>
        <w:numPr>
          <w:ilvl w:val="0"/>
          <w:numId w:val="4"/>
        </w:numPr>
        <w:tabs>
          <w:tab w:val="clear" w:pos="720"/>
          <w:tab w:val="left" w:pos="1440" w:leader="none"/>
          <w:tab w:val="left" w:pos="1620" w:leader="none"/>
          <w:tab w:val="left" w:pos="1800" w:leader="none"/>
        </w:tabs>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 xml:space="preserve">Responsible for establishing and managing relationships between the Compaq venture group and the investment community, which included several venture funds and investment banks.  </w:t>
      </w:r>
    </w:p>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t>4/94 – 5/97</w:t>
        <w:tab/>
        <w:t>ENRON CORP.</w:t>
        <w:tab/>
        <w:tab/>
        <w:tab/>
        <w:tab/>
        <w:tab/>
        <w:tab/>
        <w:tab/>
        <w:t xml:space="preserve">         HOUSTON, TEXAS</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tab/>
        <w:tab/>
        <w:t xml:space="preserve">ENRON DEVELOPMENT CORP. - Manager, Business Development </w:t>
      </w:r>
    </w:p>
    <w:p>
      <w:pPr>
        <w:pStyle w:val="Normal"/>
        <w:numPr>
          <w:ilvl w:val="0"/>
          <w:numId w:val="6"/>
        </w:numPr>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 xml:space="preserve">Developed Enron’s liquefied natural gas business in Asia and the Middle East. Activities included forming and implementing strategy related to the commercial development of the business, marketing of the product to intermediaries and end users, conducting financial analysis and financial modeling, identifying and securing customers, forming business alliances in the market place, negotiating business agreements with partners and customers, and facilitating the acquisition of funds in domestic and international capital markets.   </w:t>
      </w:r>
    </w:p>
    <w:p>
      <w:pPr>
        <w:pStyle w:val="Normal"/>
        <w:numPr>
          <w:ilvl w:val="0"/>
          <w:numId w:val="6"/>
        </w:numPr>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Participated in the development of a petrochemical business venture for Enron in Latin America. Was responsible for structuring the transaction, valuations and financial modeling, financial due diligence, risk management, negotiating business contracts, and raising funds in capital markets.</w:t>
      </w:r>
    </w:p>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tab/>
        <w:tab/>
      </w:r>
    </w:p>
    <w:p>
      <w:pPr>
        <w:pStyle w:val="Normal"/>
        <w:suppressAutoHyphens w:val="true"/>
        <w:jc w:val="both"/>
        <w:rPr/>
      </w:pPr>
      <w:r>
        <w:rPr>
          <w:rFonts w:cs="Times New Roman" w:ascii="Times New Roman" w:hAnsi="Times New Roman"/>
          <w:spacing w:val="-3"/>
          <w:sz w:val="22"/>
        </w:rPr>
        <w:tab/>
        <w:tab/>
      </w:r>
      <w:r>
        <w:rPr>
          <w:rFonts w:cs="Times New Roman" w:ascii="Times New Roman" w:hAnsi="Times New Roman"/>
          <w:b/>
          <w:spacing w:val="-3"/>
          <w:sz w:val="22"/>
        </w:rPr>
        <w:t>ENRON CAPITAL AND TRADE RESOURCES - Associate</w:t>
        <w:tab/>
        <w:tab/>
      </w:r>
    </w:p>
    <w:p>
      <w:pPr>
        <w:pStyle w:val="Normal"/>
        <w:suppressAutoHyphens w:val="true"/>
        <w:ind w:firstLine="720" w:start="720" w:end="0"/>
        <w:jc w:val="both"/>
        <w:rPr>
          <w:rFonts w:ascii="Times New Roman" w:hAnsi="Times New Roman" w:cs="Times New Roman"/>
          <w:b/>
          <w:spacing w:val="-3"/>
          <w:sz w:val="22"/>
        </w:rPr>
      </w:pPr>
      <w:r>
        <w:rPr>
          <w:rFonts w:cs="Times New Roman" w:ascii="Times New Roman" w:hAnsi="Times New Roman"/>
          <w:b/>
          <w:spacing w:val="-3"/>
          <w:sz w:val="22"/>
        </w:rPr>
        <w:t>Risk Management &amp; Trading:</w:t>
      </w:r>
    </w:p>
    <w:p>
      <w:pPr>
        <w:pStyle w:val="Normal"/>
        <w:numPr>
          <w:ilvl w:val="0"/>
          <w:numId w:val="3"/>
        </w:numPr>
        <w:tabs>
          <w:tab w:val="clear" w:pos="720"/>
          <w:tab w:val="left" w:pos="1620" w:leader="none"/>
        </w:tabs>
        <w:suppressAutoHyphens w:val="true"/>
        <w:ind w:hanging="180" w:start="1620" w:end="0"/>
        <w:jc w:val="both"/>
        <w:rPr>
          <w:rFonts w:ascii="Times New Roman" w:hAnsi="Times New Roman" w:cs="Times New Roman"/>
          <w:b/>
          <w:spacing w:val="-3"/>
          <w:sz w:val="22"/>
        </w:rPr>
      </w:pPr>
      <w:r>
        <w:rPr>
          <w:rFonts w:cs="Times New Roman" w:ascii="Times New Roman" w:hAnsi="Times New Roman"/>
          <w:spacing w:val="-3"/>
          <w:sz w:val="22"/>
        </w:rPr>
        <w:t>Responsible for structuring and pricing risk management products such swaps and options in the natural gas and electric power industries, enabling Enron’s customers to hedge their exposure to price and market risks in the underlying commodities. Structured a long-term 10-year swap contract to manage a customer’s exposure to natural gas and crude oil prices, generating $4 million in income for Enron.</w:t>
      </w:r>
    </w:p>
    <w:p>
      <w:pPr>
        <w:pStyle w:val="Normal"/>
        <w:suppressAutoHyphens w:val="true"/>
        <w:ind w:firstLine="720" w:start="720" w:end="0"/>
        <w:jc w:val="both"/>
        <w:rPr>
          <w:rFonts w:ascii="Times New Roman" w:hAnsi="Times New Roman" w:cs="Times New Roman"/>
          <w:b/>
          <w:spacing w:val="-3"/>
          <w:sz w:val="22"/>
        </w:rPr>
      </w:pPr>
      <w:r>
        <w:rPr>
          <w:rFonts w:cs="Times New Roman" w:ascii="Times New Roman" w:hAnsi="Times New Roman"/>
          <w:b/>
          <w:spacing w:val="-3"/>
          <w:sz w:val="22"/>
        </w:rPr>
        <w:t>Power Marketing:</w:t>
      </w:r>
    </w:p>
    <w:p>
      <w:pPr>
        <w:pStyle w:val="Normal"/>
        <w:numPr>
          <w:ilvl w:val="0"/>
          <w:numId w:val="6"/>
        </w:numPr>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 xml:space="preserve">Marketed electric power and risk management products to industrial customers, electric and gas utilities, and municipalities in the Northeast United States. </w:t>
      </w:r>
    </w:p>
    <w:p>
      <w:pPr>
        <w:pStyle w:val="Normal"/>
        <w:suppressAutoHyphens w:val="true"/>
        <w:ind w:start="1440" w:end="0"/>
        <w:jc w:val="both"/>
        <w:rPr>
          <w:rFonts w:ascii="Times New Roman" w:hAnsi="Times New Roman" w:cs="Times New Roman"/>
          <w:spacing w:val="-3"/>
          <w:sz w:val="22"/>
        </w:rPr>
      </w:pPr>
      <w:r>
        <w:rPr>
          <w:rFonts w:cs="Times New Roman" w:ascii="Times New Roman" w:hAnsi="Times New Roman"/>
          <w:b/>
          <w:spacing w:val="-3"/>
          <w:sz w:val="22"/>
        </w:rPr>
        <w:t>Corporate Finance:</w:t>
      </w:r>
    </w:p>
    <w:p>
      <w:pPr>
        <w:pStyle w:val="Normal"/>
        <w:numPr>
          <w:ilvl w:val="0"/>
          <w:numId w:val="6"/>
        </w:numPr>
        <w:suppressAutoHyphens w:val="true"/>
        <w:ind w:hanging="180" w:start="1620" w:end="0"/>
        <w:jc w:val="both"/>
        <w:rPr>
          <w:rFonts w:ascii="Times New Roman" w:hAnsi="Times New Roman" w:cs="Times New Roman"/>
          <w:b/>
          <w:spacing w:val="-3"/>
          <w:sz w:val="22"/>
        </w:rPr>
      </w:pPr>
      <w:r>
        <w:rPr>
          <w:rFonts w:cs="Times New Roman" w:ascii="Times New Roman" w:hAnsi="Times New Roman"/>
          <w:spacing w:val="-3"/>
          <w:sz w:val="22"/>
        </w:rPr>
        <w:t xml:space="preserve">Conducted financial analysis and economic modeling when lending capital for the acquisition and development of energy assets such as natural gas transmission pipelines and electric power plants.  Structured the financing for a $70 million acquisition of a natural gas storage facility. </w:t>
      </w:r>
    </w:p>
    <w:p>
      <w:pPr>
        <w:pStyle w:val="Normal"/>
        <w:suppressAutoHyphens w:val="true"/>
        <w:ind w:start="1440" w:end="0"/>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t>5/93 - 4/94</w:t>
        <w:tab/>
        <w:t>CUMMINS ENGINE COMPANY</w:t>
        <w:tab/>
        <w:tab/>
        <w:tab/>
        <w:tab/>
        <w:tab/>
        <w:t xml:space="preserve">  COLUMBUS, INDIANA</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tab/>
        <w:tab/>
        <w:t>Financial Analyst - Treasury Operations</w:t>
        <w:tab/>
        <w:tab/>
        <w:tab/>
      </w:r>
    </w:p>
    <w:p>
      <w:pPr>
        <w:pStyle w:val="Normal"/>
        <w:numPr>
          <w:ilvl w:val="0"/>
          <w:numId w:val="6"/>
        </w:numPr>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Developed and implemented risk management systems and methodologies to measure, quantify, and hedge overall corporate exposure to foreign exchange and commodity risk.</w:t>
      </w:r>
    </w:p>
    <w:p>
      <w:pPr>
        <w:pStyle w:val="Normal"/>
        <w:numPr>
          <w:ilvl w:val="0"/>
          <w:numId w:val="6"/>
        </w:numPr>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Advised the Assistant Treasurer on corporate finance issues such as corporate capital structure, dividends, interest rates, and funding strategies. Conducted analysis to refinance and retire existing debt.</w:t>
      </w:r>
    </w:p>
    <w:p>
      <w:pPr>
        <w:pStyle w:val="Normal"/>
        <w:numPr>
          <w:ilvl w:val="0"/>
          <w:numId w:val="6"/>
        </w:numPr>
        <w:suppressAutoHyphens w:val="true"/>
        <w:ind w:hanging="180" w:start="1620" w:end="0"/>
        <w:jc w:val="both"/>
        <w:rPr>
          <w:rFonts w:ascii="Times New Roman" w:hAnsi="Times New Roman" w:cs="Times New Roman"/>
          <w:spacing w:val="-3"/>
          <w:sz w:val="22"/>
        </w:rPr>
      </w:pPr>
      <w:r>
        <w:rPr>
          <w:rFonts w:cs="Times New Roman" w:ascii="Times New Roman" w:hAnsi="Times New Roman"/>
          <w:spacing w:val="-3"/>
          <w:sz w:val="22"/>
        </w:rPr>
        <w:t xml:space="preserve">Supported treasury functions such as cash management, foreign exchange trading and financial modeling.  </w:t>
      </w:r>
    </w:p>
    <w:p>
      <w:pPr>
        <w:pStyle w:val="Normal"/>
        <w:suppressAutoHyphens w:val="true"/>
        <w:jc w:val="both"/>
        <w:rPr/>
      </w:pPr>
      <w:r>
        <w:rPr>
          <w:rFonts w:cs="Times New Roman" w:ascii="Times New Roman" w:hAnsi="Times New Roman"/>
          <w:spacing w:val="-3"/>
          <w:sz w:val="22"/>
        </w:rPr>
        <w:t xml:space="preserve">                                                                                                                   </w:t>
      </w:r>
      <w:r>
        <w:rPr>
          <w:rFonts w:cs="Times New Roman" w:ascii="Times New Roman" w:hAnsi="Times New Roman"/>
          <w:spacing w:val="-3"/>
          <w:sz w:val="22"/>
        </w:rPr>
        <w:tab/>
      </w:r>
      <w:r>
        <w:rPr>
          <w:rFonts w:cs="Times New Roman" w:ascii="Times New Roman" w:hAnsi="Times New Roman"/>
          <w:b/>
          <w:spacing w:val="-3"/>
          <w:sz w:val="22"/>
        </w:rPr>
        <w:tab/>
        <w:tab/>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u w:val="single"/>
        </w:rPr>
        <w:t>Education:</w:t>
      </w:r>
    </w:p>
    <w:p>
      <w:pPr>
        <w:pStyle w:val="Normal"/>
        <w:suppressAutoHyphens w:val="true"/>
        <w:ind w:end="-90"/>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ind w:end="-90"/>
        <w:jc w:val="both"/>
        <w:rPr>
          <w:rFonts w:ascii="Times New Roman" w:hAnsi="Times New Roman" w:cs="Times New Roman"/>
          <w:b/>
          <w:spacing w:val="-3"/>
          <w:sz w:val="22"/>
        </w:rPr>
      </w:pPr>
      <w:r>
        <w:rPr>
          <w:rFonts w:cs="Times New Roman" w:ascii="Times New Roman" w:hAnsi="Times New Roman"/>
          <w:b/>
          <w:spacing w:val="-3"/>
          <w:sz w:val="22"/>
        </w:rPr>
        <w:t xml:space="preserve">91 - 93 </w:t>
        <w:tab/>
        <w:tab/>
        <w:t>HOFSTRA UNIVERSITY</w:t>
        <w:tab/>
        <w:tab/>
        <w:tab/>
        <w:tab/>
        <w:tab/>
        <w:t xml:space="preserve">          HEMPSTEAD, NEW YORK</w:t>
      </w:r>
    </w:p>
    <w:p>
      <w:pPr>
        <w:pStyle w:val="Normal"/>
        <w:suppressAutoHyphens w:val="true"/>
        <w:jc w:val="both"/>
        <w:rPr>
          <w:rFonts w:ascii="Times New Roman" w:hAnsi="Times New Roman" w:cs="Times New Roman"/>
          <w:spacing w:val="-3"/>
          <w:sz w:val="22"/>
        </w:rPr>
      </w:pPr>
      <w:r>
        <w:rPr>
          <w:rFonts w:cs="Times New Roman" w:ascii="Times New Roman" w:hAnsi="Times New Roman"/>
          <w:b/>
          <w:spacing w:val="-3"/>
          <w:sz w:val="22"/>
        </w:rPr>
        <w:tab/>
        <w:tab/>
        <w:t>MBA – Banking &amp; Finance</w:t>
        <w:tab/>
        <w:tab/>
        <w:tab/>
        <w:tab/>
        <w:tab/>
      </w:r>
    </w:p>
    <w:p>
      <w:pPr>
        <w:pStyle w:val="Normal"/>
        <w:suppressAutoHyphens w:val="true"/>
        <w:jc w:val="both"/>
        <w:rPr/>
      </w:pPr>
      <w:r>
        <w:rPr>
          <w:rFonts w:cs="Times New Roman" w:ascii="Times New Roman" w:hAnsi="Times New Roman"/>
          <w:b/>
          <w:spacing w:val="-3"/>
          <w:sz w:val="22"/>
        </w:rPr>
        <w:tab/>
        <w:tab/>
      </w:r>
      <w:r>
        <w:rPr>
          <w:rFonts w:cs="Times New Roman" w:ascii="Times New Roman" w:hAnsi="Times New Roman"/>
          <w:spacing w:val="-3"/>
          <w:sz w:val="22"/>
        </w:rPr>
        <w:t>Master's Thesis: Analysis and valuation of various growth proxies in  the US stock markets.</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jc w:val="both"/>
        <w:rPr/>
      </w:pPr>
      <w:r>
        <w:rPr>
          <w:rFonts w:cs="Times New Roman" w:ascii="Times New Roman" w:hAnsi="Times New Roman"/>
          <w:b/>
          <w:spacing w:val="-3"/>
          <w:sz w:val="22"/>
        </w:rPr>
        <w:t>86 - 90</w:t>
        <w:tab/>
      </w:r>
      <w:r>
        <w:rPr>
          <w:rFonts w:cs="Times New Roman" w:ascii="Times New Roman" w:hAnsi="Times New Roman"/>
          <w:spacing w:val="-3"/>
          <w:sz w:val="22"/>
        </w:rPr>
        <w:tab/>
      </w:r>
      <w:r>
        <w:rPr>
          <w:rFonts w:cs="Times New Roman" w:ascii="Times New Roman" w:hAnsi="Times New Roman"/>
          <w:b/>
          <w:spacing w:val="-3"/>
          <w:sz w:val="22"/>
        </w:rPr>
        <w:t>BANGALORE UNIVERSITY</w:t>
        <w:tab/>
        <w:tab/>
        <w:tab/>
        <w:t xml:space="preserve">   </w:t>
        <w:tab/>
        <w:tab/>
        <w:tab/>
        <w:t xml:space="preserve">     BANGALORE, INDIA</w:t>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tab/>
        <w:tab/>
        <w:t xml:space="preserve">BS - Computer Science &amp; Engineering </w:t>
        <w:tab/>
      </w:r>
    </w:p>
    <w:p>
      <w:pPr>
        <w:pStyle w:val="Normal"/>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suppressAutoHyphens w:val="true"/>
        <w:jc w:val="both"/>
        <w:rPr>
          <w:rFonts w:ascii="Times New Roman" w:hAnsi="Times New Roman" w:cs="Times New Roman"/>
          <w:b/>
          <w:spacing w:val="-3"/>
          <w:sz w:val="22"/>
          <w:u w:val="single"/>
        </w:rPr>
      </w:pPr>
      <w:r>
        <w:rPr>
          <w:rFonts w:cs="Times New Roman" w:ascii="Times New Roman" w:hAnsi="Times New Roman"/>
          <w:b/>
          <w:spacing w:val="-3"/>
          <w:sz w:val="22"/>
          <w:u w:val="single"/>
        </w:rPr>
        <w:t>Personal:</w:t>
      </w:r>
    </w:p>
    <w:p>
      <w:pPr>
        <w:pStyle w:val="Normal"/>
        <w:numPr>
          <w:ilvl w:val="0"/>
          <w:numId w:val="3"/>
        </w:numPr>
        <w:tabs>
          <w:tab w:val="clear" w:pos="720"/>
          <w:tab w:val="left" w:pos="1620" w:leader="none"/>
        </w:tabs>
        <w:suppressAutoHyphens w:val="true"/>
        <w:ind w:hanging="360" w:start="1620" w:end="0"/>
        <w:jc w:val="both"/>
        <w:rPr>
          <w:rFonts w:ascii="Times New Roman" w:hAnsi="Times New Roman" w:cs="Times New Roman"/>
          <w:b/>
          <w:spacing w:val="-3"/>
          <w:sz w:val="22"/>
        </w:rPr>
      </w:pPr>
      <w:r>
        <w:rPr>
          <w:rFonts w:cs="Times New Roman" w:ascii="Times New Roman" w:hAnsi="Times New Roman"/>
          <w:bCs/>
          <w:spacing w:val="-3"/>
          <w:sz w:val="22"/>
        </w:rPr>
        <w:t>Permanent resident (Green Card Holder) of the United States.</w:t>
      </w:r>
    </w:p>
    <w:p>
      <w:pPr>
        <w:pStyle w:val="Normal"/>
        <w:numPr>
          <w:ilvl w:val="0"/>
          <w:numId w:val="3"/>
        </w:numPr>
        <w:tabs>
          <w:tab w:val="clear" w:pos="720"/>
          <w:tab w:val="left" w:pos="1620" w:leader="none"/>
        </w:tabs>
        <w:suppressAutoHyphens w:val="true"/>
        <w:ind w:hanging="360" w:start="1620" w:end="0"/>
        <w:jc w:val="both"/>
        <w:rPr>
          <w:rFonts w:ascii="Times New Roman" w:hAnsi="Times New Roman" w:cs="Times New Roman"/>
          <w:b/>
          <w:spacing w:val="-3"/>
          <w:sz w:val="22"/>
        </w:rPr>
      </w:pPr>
      <w:r>
        <w:rPr>
          <w:rFonts w:cs="Times New Roman" w:ascii="Times New Roman" w:hAnsi="Times New Roman"/>
          <w:bCs/>
          <w:spacing w:val="-3"/>
          <w:sz w:val="22"/>
        </w:rPr>
        <w:t xml:space="preserve">Enjoy playing golf, squash and running.    </w:t>
      </w:r>
    </w:p>
    <w:sectPr>
      <w:type w:val="nextPage"/>
      <w:pgSz w:w="12240" w:h="15840"/>
      <w:pgMar w:left="1008" w:right="864" w:gutter="0" w:header="0" w:top="1296" w:footer="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2340"/>
        </w:tabs>
        <w:ind w:start="2340" w:hanging="360"/>
      </w:pPr>
      <w:rPr>
        <w:rFonts w:ascii="Symbol" w:hAnsi="Symbol" w:cs="Symbol" w:hint="default"/>
      </w:rPr>
    </w:lvl>
  </w:abstractNum>
  <w:abstractNum w:abstractNumId="6">
    <w:lvl w:ilvl="0">
      <w:numFmt w:val="bullet"/>
      <w:lvlText w:val=""/>
      <w:lvlJc w:val="start"/>
      <w:pPr>
        <w:ind w:start="0" w:firstLine="144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uppressAutoHyphens w:val="true"/>
      <w:jc w:val="both"/>
      <w:outlineLvl w:val="0"/>
    </w:pPr>
    <w:rPr>
      <w:rFonts w:ascii="Times New Roman" w:hAnsi="Times New Roman" w:cs="Times New Roman"/>
      <w:b/>
      <w:spacing w:val="-3"/>
      <w:sz w:val="22"/>
    </w:rPr>
  </w:style>
  <w:style w:type="paragraph" w:styleId="Heading2">
    <w:name w:val="heading 2"/>
    <w:basedOn w:val="Normal"/>
    <w:next w:val="Normal"/>
    <w:qFormat/>
    <w:pPr>
      <w:keepNext w:val="true"/>
      <w:numPr>
        <w:ilvl w:val="1"/>
        <w:numId w:val="1"/>
      </w:numPr>
      <w:suppressAutoHyphens w:val="true"/>
      <w:ind w:firstLine="720" w:start="720" w:end="0"/>
      <w:jc w:val="both"/>
      <w:outlineLvl w:val="1"/>
    </w:pPr>
    <w:rPr>
      <w:rFonts w:ascii="Times New Roman" w:hAnsi="Times New Roman" w:cs="Times New Roman"/>
      <w:b/>
      <w:spacing w:val="-3"/>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2001-10-10T17:37:00Z</dcterms:created>
  <dc:creator>epc</dc:creator>
  <dc:description/>
  <dc:language>en-CA</dc:language>
  <cp:lastModifiedBy>ldelgado</cp:lastModifiedBy>
  <cp:lastPrinted>2001-08-29T11:41:00Z</cp:lastPrinted>
  <dcterms:modified xsi:type="dcterms:W3CDTF">2001-10-10T17:37:00Z</dcterms:modified>
  <cp:revision>2</cp:revision>
  <dc:subject/>
  <dc:title>Shaka Jaggi</dc:title>
</cp:coreProperties>
</file>