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Shaka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Jaggi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10/10/01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 w:eastAsia="en-CA"/>
        </w:rPr>
        <w:t>108682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Shaka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Jaggi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Monday, October 15, 2001</w:t>
      </w:r>
      <w:r>
        <w:rPr>
          <w:b/>
          <w:sz w:val="24"/>
        </w:rPr>
        <w:t>.</w:t>
      </w:r>
      <w:r>
        <w:rPr>
          <w:sz w:val="24"/>
        </w:rPr>
        <w:t xml:space="preserve">  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for an </w:t>
      </w:r>
      <w:r>
        <w:rPr>
          <w:b/>
          <w:sz w:val="24"/>
          <w:u w:val="single"/>
          <w:lang w:val="en-CA" w:eastAsia="en-CA"/>
        </w:rPr>
        <w:t>Exploratory</w:t>
      </w:r>
      <w:r>
        <w:rPr>
          <w:sz w:val="24"/>
        </w:rPr>
        <w:t xml:space="preserve"> position within </w:t>
      </w:r>
      <w:r>
        <w:rPr>
          <w:b/>
          <w:sz w:val="24"/>
          <w:u w:val="single"/>
          <w:lang w:val="en-CA" w:eastAsia="en-CA"/>
        </w:rPr>
        <w:t>EGM Origination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</w:t>
      </w:r>
    </w:p>
    <w:p>
      <w:pPr>
        <w:pStyle w:val="Normal"/>
        <w:rPr>
          <w:sz w:val="24"/>
        </w:rPr>
      </w:pPr>
      <w:r>
        <w:rPr>
          <w:sz w:val="24"/>
        </w:rPr>
        <w:t>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6930" w:type="dxa"/>
        <w:jc w:val="start"/>
        <w:tblInd w:w="84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20"/>
        <w:gridCol w:w="3330"/>
        <w:gridCol w:w="1980"/>
      </w:tblGrid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</w:tr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01:00 – 01:30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Lydia Delgado</w:t>
            </w:r>
          </w:p>
        </w:tc>
        <w:tc>
          <w:tcPr>
            <w:tcW w:w="198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ECN 36</w:t>
            </w:r>
            <w:r>
              <w:rPr>
                <w:rFonts w:cs="Arial" w:ascii="Arial" w:hAnsi="Arial"/>
                <w:bCs/>
                <w:color w:val="000000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bCs/>
                <w:color w:val="000000"/>
                <w:sz w:val="22"/>
              </w:rPr>
              <w:t xml:space="preserve"> Floor</w:t>
            </w:r>
          </w:p>
        </w:tc>
      </w:tr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01:30 – 02:00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Randy Maffett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3-980</w:t>
            </w:r>
          </w:p>
        </w:tc>
      </w:tr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02:00 – 02:30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Gary Hickerson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ECN 3082</w:t>
            </w:r>
          </w:p>
        </w:tc>
      </w:tr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02:30 – 03:00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Eric Gonzales</w:t>
            </w:r>
          </w:p>
        </w:tc>
        <w:tc>
          <w:tcPr>
            <w:tcW w:w="19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3-980</w:t>
            </w:r>
          </w:p>
        </w:tc>
      </w:tr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03:00 – 03:30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Johnny Palmer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3-980</w:t>
            </w:r>
          </w:p>
        </w:tc>
      </w:tr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03:30 – 04:00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Bill Berkeland</w:t>
            </w:r>
          </w:p>
        </w:tc>
        <w:tc>
          <w:tcPr>
            <w:tcW w:w="19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3-980</w:t>
            </w:r>
          </w:p>
        </w:tc>
      </w:tr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53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2001-10-11T18:37:00Z</dcterms:created>
  <dc:creator>Mark &amp; Betty Broadfoot</dc:creator>
  <dc:description/>
  <dc:language>en-CA</dc:language>
  <cp:lastModifiedBy>ldelgado</cp:lastModifiedBy>
  <cp:lastPrinted>2001-10-11T15:59:00Z</cp:lastPrinted>
  <dcterms:modified xsi:type="dcterms:W3CDTF">2001-10-11T18:37:00Z</dcterms:modified>
  <cp:revision>2</cp:revision>
  <dc:subject/>
  <dc:title>To:  </dc:title>
</cp:coreProperties>
</file>