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RIGHT-OF-WAY 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b/>
          <w:sz w:val="22"/>
        </w:rPr>
      </w:pPr>
      <w:r>
        <w:rPr>
          <w:b/>
          <w:sz w:val="22"/>
        </w:rPr>
        <w:t>THE STATE OF TEXAS</w:t>
        <w:tab/>
        <w:tab/>
        <w:t>§</w:t>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ab/>
        <w:tab/>
        <w:tab/>
        <w:t>§</w:t>
      </w:r>
    </w:p>
    <w:p>
      <w:pPr>
        <w:pStyle w:val="Heading1"/>
        <w:widowControl/>
        <w:rPr>
          <w:sz w:val="22"/>
        </w:rPr>
      </w:pPr>
      <w:r>
        <w:rPr>
          <w:sz w:val="22"/>
        </w:rPr>
        <w:t>COUNTY OF BRAZORIA AND</w:t>
      </w:r>
    </w:p>
    <w:p>
      <w:pPr>
        <w:pStyle w:val="Heading1"/>
        <w:widowControl/>
        <w:rPr>
          <w:sz w:val="22"/>
        </w:rPr>
      </w:pPr>
      <w:r>
        <w:rPr>
          <w:sz w:val="22"/>
        </w:rPr>
        <w:t xml:space="preserve">                               </w:t>
      </w:r>
      <w:r>
        <w:rPr>
          <w:sz w:val="22"/>
        </w:rPr>
        <w:t>FORT BEND</w:t>
        <w:tab/>
        <w:t>§</w:t>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t>That, ___________________________________________, ("</w:t>
      </w:r>
      <w:r>
        <w:rPr>
          <w:sz w:val="22"/>
          <w:u w:val="single"/>
        </w:rPr>
        <w:t>GRANTOR</w:t>
      </w:r>
      <w:r>
        <w:rPr>
          <w:sz w:val="22"/>
        </w:rPr>
        <w:t>"), whose address is P.O. Box 1188, Houston, Texas 77251-1188, for and in consideration of the sum of One Dollar ($1.00) and other valuable consideration, the receipt of which is hereby acknowledged, does hereby grant, bargain, sell and convey unto HOUSTON PIPE LINE COMPANY a Delaware Corporation, ("</w:t>
      </w:r>
      <w:r>
        <w:rPr>
          <w:sz w:val="22"/>
          <w:u w:val="single"/>
        </w:rPr>
        <w:t>GRANTEE</w:t>
      </w:r>
      <w:r>
        <w:rPr>
          <w:sz w:val="22"/>
        </w:rPr>
        <w:t>") whose address is P.O. Box 1188, Houston, Texas 77251-1188, its successors and assigns a exclusive perpetual right-of-way and easement ___ feet in width to maintain, protect, inspect, operate, replace, change the size of, remove, and abandon in place, a pipeline or pipelines and appurtenant facilities from time to time as deemed by Grantee to be necessary or desirable in connection with the use and convenient operation of the pipeline or pipelines (collectively referred to as the "</w:t>
      </w:r>
      <w:r>
        <w:rPr>
          <w:sz w:val="22"/>
          <w:u w:val="single"/>
        </w:rPr>
        <w:t>Pipeline</w:t>
      </w:r>
      <w:r>
        <w:rPr>
          <w:sz w:val="22"/>
        </w:rPr>
        <w:t>") for the transportation of gas, oil, petroleum products, or any other liquids, gases or substances which can be transported through a pipeline, across, under, and through a _______ acre tract of land owned by Grantor and located in the ____________________ Survey, Abstract _____, _______________ County, Texas, described on the attached Exhibit "A" and as depicted on the map[s] attached hereto as Exhibit[s] "A-1" [and A-2], both [all] of which are incorporated herein and made a part hereof (hereinafter referred to as the “</w:t>
      </w:r>
      <w:r>
        <w:rPr>
          <w:sz w:val="22"/>
          <w:u w:val="single"/>
        </w:rPr>
        <w:t>Premises</w:t>
      </w:r>
      <w:r>
        <w:rPr>
          <w:sz w:val="22"/>
        </w:rPr>
        <w:t>”).  To have and to hold the right-of-way granted herein unto the said Grantee, its successors and assigns on the terms stated herein and, subject to the terms of this grant, such rights shall be covenants running with the land and be binding upon Grantor, its legal representatives and successors in title.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The Grantor shall have the right to use and enjoy the surface of the said right-of-way and easement hereinabove described provided such use and enjoyment shall not interfere with the use thereof by Grantee for the purposes for which said right-of-way and easement is granted.  The Grantor shall not erect or construct, nor permit the erection or construction of any houses, structures, lakes, ponds, dams or other obstructions on, over, across or within said right-of-way and easement that will interfere with any of the rights herein granted to Grantee, and will not change or alter the grade over said pipeline.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have the right to lay additional pipelines and appurtenant facilities within said Premises at any future time with no additional consideration to be paid to Grantor</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have the right, from time-to-time, to cut and remove certain trees, undergrowth and other obstructions on the Premises that may injure said pipeline and appurtenances or interfere with the construction, operation, maintenance, repair, change, replacement or removal thereof.</w:t>
      </w:r>
    </w:p>
    <w:p>
      <w:pPr>
        <w:pStyle w:val="Normal"/>
        <w:widowControl/>
        <w:tabs>
          <w:tab w:val="left" w:pos="720" w:leader="none"/>
          <w:tab w:val="left" w:pos="2880" w:leader="none"/>
          <w:tab w:val="left" w:pos="7200" w:leader="none"/>
        </w:tabs>
        <w:spacing w:lineRule="atLeast" w:line="480" w:before="0" w:after="120"/>
        <w:ind w:end="-806"/>
        <w:rPr>
          <w:sz w:val="22"/>
        </w:rPr>
      </w:pPr>
      <w:r>
        <w:rPr>
          <w:sz w:val="22"/>
        </w:rPr>
        <w:t>This agreement shall supercede and hereby release the following instruments insofar and only insofar as they pertain to the Premises and any portion of the instruments not hereby covered by the Premises shall remain in full force and effect:</w:t>
      </w:r>
    </w:p>
    <w:p>
      <w:pPr>
        <w:pStyle w:val="Normal"/>
        <w:widowControl/>
        <w:tabs>
          <w:tab w:val="left" w:pos="720" w:leader="none"/>
          <w:tab w:val="left" w:pos="2880" w:leader="none"/>
          <w:tab w:val="left" w:pos="7200" w:leader="none"/>
        </w:tabs>
        <w:spacing w:lineRule="atLeast" w:line="480" w:before="0" w:after="120"/>
        <w:ind w:end="-806"/>
        <w:jc w:val="center"/>
        <w:rPr>
          <w:sz w:val="22"/>
        </w:rPr>
      </w:pPr>
      <w:r>
        <w:rPr>
          <w:sz w:val="22"/>
        </w:rPr>
      </w:r>
    </w:p>
    <w:tbl>
      <w:tblPr>
        <w:tblW w:w="5850" w:type="dxa"/>
        <w:jc w:val="start"/>
        <w:tblInd w:w="1638" w:type="dxa"/>
        <w:tblLayout w:type="fixed"/>
        <w:tblCellMar>
          <w:top w:w="0" w:type="dxa"/>
          <w:start w:w="108" w:type="dxa"/>
          <w:bottom w:w="0" w:type="dxa"/>
          <w:end w:w="108" w:type="dxa"/>
        </w:tblCellMar>
      </w:tblPr>
      <w:tblGrid>
        <w:gridCol w:w="1314"/>
        <w:gridCol w:w="1206"/>
        <w:gridCol w:w="3330"/>
      </w:tblGrid>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VOLUME</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PAGE</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124</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94</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362</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330</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841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580</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125</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109</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270</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361</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89</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Brazoria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542</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674</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Fort Bend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1004</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670</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Fort Bend County Deed Records</w:t>
            </w:r>
          </w:p>
        </w:tc>
      </w:tr>
      <w:tr>
        <w:trPr/>
        <w:tc>
          <w:tcPr>
            <w:tcW w:w="1314"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204</w:t>
            </w:r>
          </w:p>
        </w:tc>
        <w:tc>
          <w:tcPr>
            <w:tcW w:w="1206"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534</w:t>
            </w:r>
          </w:p>
        </w:tc>
        <w:tc>
          <w:tcPr>
            <w:tcW w:w="3330" w:type="dxa"/>
            <w:tcBorders>
              <w:top w:val="single" w:sz="4" w:space="0" w:color="000000"/>
              <w:start w:val="single" w:sz="4" w:space="0" w:color="000000"/>
              <w:bottom w:val="single" w:sz="4" w:space="0" w:color="000000"/>
              <w:end w:val="single" w:sz="4" w:space="0" w:color="000000"/>
            </w:tcBorders>
          </w:tcPr>
          <w:p>
            <w:pPr>
              <w:pStyle w:val="Normal"/>
              <w:widowControl/>
              <w:tabs>
                <w:tab w:val="left" w:pos="720" w:leader="none"/>
                <w:tab w:val="left" w:pos="2880" w:leader="none"/>
                <w:tab w:val="left" w:pos="7200" w:leader="none"/>
              </w:tabs>
              <w:spacing w:lineRule="atLeast" w:line="480" w:before="0" w:after="120"/>
              <w:ind w:end="-806"/>
              <w:rPr>
                <w:sz w:val="22"/>
              </w:rPr>
            </w:pPr>
            <w:r>
              <w:rPr>
                <w:sz w:val="22"/>
              </w:rPr>
              <w:t>Fort Bend County Deed Records</w:t>
            </w:r>
          </w:p>
        </w:tc>
      </w:tr>
    </w:tbl>
    <w:p>
      <w:pPr>
        <w:pStyle w:val="Normal"/>
        <w:widowControl/>
        <w:tabs>
          <w:tab w:val="left" w:pos="720" w:leader="none"/>
          <w:tab w:val="left" w:pos="2880" w:leader="none"/>
          <w:tab w:val="left" w:pos="7200" w:leader="none"/>
        </w:tabs>
        <w:spacing w:lineRule="atLeast" w:line="480" w:before="0" w:after="120"/>
        <w:ind w:end="-806"/>
        <w:rPr>
          <w:sz w:val="22"/>
        </w:rPr>
      </w:pPr>
      <w:r>
        <w:rPr>
          <w:sz w:val="22"/>
        </w:rPr>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PREMISES (OR FROM ANY ACT OR OMISSION OF GRANTEE AND/OR GRANTEE'S AGENTS, EMPLOYEES, OR CONTRACTORS WHILE ON THE PREMISES), OR GRANTEE'S OPERATION, MAINTENANCE, INSPECTION, REPAIR, REPLACEMENT OR REMOVAL OF THE PIPELINE ON THE PREMISES.</w:t>
      </w:r>
    </w:p>
    <w:p>
      <w:pPr>
        <w:pStyle w:val="BodyText"/>
        <w:widowControl/>
        <w:rPr>
          <w:sz w:val="22"/>
        </w:rPr>
      </w:pPr>
      <w:r>
        <w:rPr>
          <w:sz w:val="22"/>
        </w:rPr>
        <w:tab/>
        <w:t>GRANTOR SHALL INDEMNIFY, DEFEND, AND HOLD HARMLESS GRANTEE, GRANTEE'S PARENT COMPANY, THE SUBSIDIARY AND AFFILIATE COMPANIES OF EACH OF THEM (COLLECTIVELY, "GRANTEE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PREMISES, OR FROM ANY ACT OR OMISSION OF GRANTOR AND/OR GRANTOR'S AGENTS, EMPLOYEES, OR CONTRACTORS WHILE ON THE PREMISES.</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TO HAVE AND TO HOLD the said right-of-way unto Grantee, its successors and assigns, for the purposes herein granted and upon the terms and conditions herein set forth provided.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Executed by Grantor and Grantee this ____ day of _______________, 20___.</w:t>
      </w:r>
    </w:p>
    <w:p>
      <w:pPr>
        <w:pStyle w:val="Heading2"/>
        <w:widowControl/>
        <w:rPr/>
      </w:pPr>
      <w:r>
        <w:rPr>
          <w:sz w:val="22"/>
        </w:rPr>
        <w:tab/>
        <w:tab/>
        <w:tab/>
      </w:r>
      <w:r>
        <w:rPr>
          <w:b/>
          <w:sz w:val="22"/>
        </w:rPr>
        <w:t>GRANTOR</w:t>
      </w:r>
    </w:p>
    <w:p>
      <w:pPr>
        <w:pStyle w:val="Normal"/>
        <w:widowControl/>
        <w:tabs>
          <w:tab w:val="left" w:pos="720" w:leader="none"/>
          <w:tab w:val="left" w:pos="4140" w:leader="none"/>
          <w:tab w:val="left" w:pos="5760" w:leader="none"/>
          <w:tab w:val="left" w:pos="7200" w:leader="none"/>
        </w:tabs>
        <w:spacing w:lineRule="atLeast" w:line="240"/>
        <w:ind w:end="-806"/>
        <w:jc w:val="both"/>
        <w:rPr>
          <w:b/>
          <w:sz w:val="22"/>
        </w:rPr>
      </w:pPr>
      <w:r>
        <w:rPr>
          <w:b/>
          <w:sz w:val="22"/>
        </w:rPr>
      </w:r>
    </w:p>
    <w:p>
      <w:pPr>
        <w:pStyle w:val="Heading2"/>
        <w:widowControl/>
        <w:spacing w:lineRule="auto" w:line="240"/>
        <w:rPr/>
      </w:pPr>
      <w:r>
        <w:rPr>
          <w:b/>
          <w:sz w:val="22"/>
        </w:rPr>
        <w:tab/>
        <w:tab/>
        <w:tab/>
        <w:t>[</w:t>
      </w:r>
      <w:r>
        <w:rPr>
          <w:sz w:val="22"/>
        </w:rPr>
        <w:t>_______________________________]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sz w:val="22"/>
        </w:rPr>
        <w:tab/>
        <w:tab/>
        <w:t xml:space="preserve">By:   ______________________________  </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Normal"/>
        <w:widowControl/>
        <w:tabs>
          <w:tab w:val="left" w:pos="720" w:leader="none"/>
          <w:tab w:val="left" w:pos="4140" w:leader="none"/>
          <w:tab w:val="left" w:pos="5760" w:leader="none"/>
          <w:tab w:val="left" w:pos="7200" w:leader="none"/>
        </w:tabs>
        <w:spacing w:lineRule="atLeast" w:line="240"/>
        <w:ind w:end="-806"/>
        <w:jc w:val="both"/>
        <w:rPr>
          <w:b/>
          <w:sz w:val="22"/>
        </w:rPr>
      </w:pPr>
      <w:r>
        <w:rPr>
          <w:b/>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HOUSTON PIPE LINE COMPANY</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________________________________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By:    Stephen C. Schneider</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Vice-President</w:t>
      </w:r>
    </w:p>
    <w:p>
      <w:pPr>
        <w:pStyle w:val="Heading2"/>
        <w:widowControl/>
        <w:spacing w:lineRule="auto" w:line="240"/>
        <w:rPr>
          <w:b/>
          <w:sz w:val="22"/>
        </w:rPr>
      </w:pPr>
      <w:r>
        <w:rPr>
          <w:b/>
          <w:sz w:val="22"/>
        </w:rPr>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b/>
          <w:sz w:val="22"/>
        </w:rPr>
      </w:pPr>
      <w:r>
        <w:rPr>
          <w:b/>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20__ by Stephen C. Schneider, Vice-President of Houston Pipe Line Company,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After Recordation, return this document to:</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Ms. Mary C. Ogden</w:t>
      </w:r>
    </w:p>
    <w:p>
      <w:pPr>
        <w:pStyle w:val="Normal"/>
        <w:widowControl/>
        <w:jc w:val="both"/>
        <w:rPr>
          <w:rFonts w:ascii="Arial" w:hAnsi="Arial" w:cs="Arial"/>
          <w:sz w:val="22"/>
        </w:rPr>
      </w:pPr>
      <w:r>
        <w:rPr>
          <w:rFonts w:cs="Arial" w:ascii="Arial" w:hAnsi="Arial"/>
          <w:sz w:val="22"/>
        </w:rPr>
        <w:t>Houston Pipe Line Company</w:t>
      </w:r>
    </w:p>
    <w:p>
      <w:pPr>
        <w:pStyle w:val="Normal"/>
        <w:widowControl/>
        <w:jc w:val="both"/>
        <w:rPr>
          <w:rFonts w:ascii="Arial" w:hAnsi="Arial" w:cs="Arial"/>
          <w:sz w:val="22"/>
        </w:rPr>
      </w:pPr>
      <w:r>
        <w:rPr>
          <w:rFonts w:cs="Arial" w:ascii="Arial" w:hAnsi="Arial"/>
          <w:sz w:val="22"/>
        </w:rPr>
        <w:t>1400 Smith, EB 3881</w:t>
      </w:r>
    </w:p>
    <w:p>
      <w:pPr>
        <w:pStyle w:val="Normal"/>
        <w:widowControl/>
        <w:jc w:val="both"/>
        <w:rPr>
          <w:rFonts w:ascii="Arial" w:hAnsi="Arial" w:cs="Arial"/>
          <w:sz w:val="22"/>
        </w:rPr>
      </w:pPr>
      <w:r>
        <w:rPr>
          <w:rFonts w:cs="Arial" w:ascii="Arial" w:hAnsi="Arial"/>
          <w:sz w:val="22"/>
        </w:rPr>
        <w:t>Houston, TX   77002</w:t>
      </w:r>
    </w:p>
    <w:p>
      <w:pPr>
        <w:pStyle w:val="Normal"/>
        <w:widowControl/>
        <w:jc w:val="both"/>
        <w:rPr>
          <w:rFonts w:ascii="Arial" w:hAnsi="Arial" w:cs="Arial"/>
          <w:sz w:val="22"/>
        </w:rPr>
      </w:pPr>
      <w:r>
        <w:rPr>
          <w:rFonts w:cs="Arial" w:ascii="Arial" w:hAnsi="Arial"/>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t xml:space="preserve">Metes and bounds description of a _______ acre tract of land:  </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t>[Insert legal description of the Premises.  If the agreement includes a pipeline, include the width of the right of way (i.e., a fifty foot (50') right of way which is deemed to be the area twenty five feet on both sides of the centerline of the pipeline).  If a surface easement is also included in the agreement, describe the surface easement (i.e., a surface easement ten feet by ten feet (10' x 10') square).  Be sure to include the acreage amount, the name of the survey, including the survey and abstract numbers, the county and state.]</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t>Total Rods: ______</w:t>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pPr>
      <w:r>
        <w:rPr/>
        <w:t xml:space="preserve"> </w:t>
      </w:r>
    </w:p>
    <w:p>
      <w:pPr>
        <w:pStyle w:val="BodyText3"/>
        <w:widowControl/>
        <w:rPr>
          <w:sz w:val="22"/>
        </w:rPr>
      </w:pPr>
      <w:r>
        <w:rPr>
          <w:sz w:val="22"/>
        </w:rPr>
      </w:r>
    </w:p>
    <w:p>
      <w:pPr>
        <w:pStyle w:val="BodyText3"/>
        <w:widowControl/>
        <w:rPr>
          <w:sz w:val="22"/>
        </w:rPr>
      </w:pPr>
      <w:r>
        <w:rPr>
          <w:sz w:val="22"/>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widowControl/>
      <w:jc w:val="both"/>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rPr>
    </w:pPr>
    <w:r>
      <w:rPr>
        <w:sz w:val="12"/>
      </w:rPr>
      <w:t>O:HPL_ROW\ROW\ROSE\HPLDOCS\2001 DOCUMENTS\HPL (GRANTEE) STANDARD ROW AGMT. (REV. MAY 01).DOC</w:t>
    </w:r>
  </w:p>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character" w:styleId="WW8Num1z0">
    <w:name w:val="WW8Num1z0"/>
    <w:qFormat/>
    <w:rPr>
      <w:b/>
      <w:i w:val="false"/>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2001-05-30T13:25:00Z</dcterms:created>
  <dc:creator>appinst</dc:creator>
  <dc:description/>
  <dc:language>en-CA</dc:language>
  <cp:lastModifiedBy>rrose</cp:lastModifiedBy>
  <cp:lastPrinted>2001-05-16T09:09:00Z</cp:lastPrinted>
  <dcterms:modified xsi:type="dcterms:W3CDTF">2001-05-30T17:39:00Z</dcterms:modified>
  <cp:revision>7</cp:revision>
  <dc:subject/>
  <dc:title>RIGHT OF WAY AGREEMENT</dc:title>
</cp:coreProperties>
</file>