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Sara Shackleton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Privileged and Confidential;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  <w:t>Lance Schuler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Attorney Client Work Product;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>Not Discoverable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Bob Bruce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EWS Legal</w:t>
            </w:r>
          </w:p>
          <w:p>
            <w:pPr>
              <w:pStyle w:val="Department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ISDA 2000 Supplement to 1993 Commodity Derivatives Definitions (the “2000 Supplement”); Proposed Form Change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January 23, 2001</w:t>
            </w:r>
          </w:p>
        </w:tc>
      </w:tr>
    </w:tbl>
    <w:p>
      <w:pPr>
        <w:pStyle w:val="Body"/>
        <w:jc w:val="both"/>
        <w:rPr>
          <w:sz w:val="22"/>
        </w:rPr>
      </w:pPr>
      <w:bookmarkStart w:id="1" w:name="StartOfMemo"/>
      <w:bookmarkEnd w:id="1"/>
      <w:r>
        <w:rPr>
          <w:sz w:val="22"/>
        </w:rPr>
        <w:tab/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  <w:tab/>
        <w:t>Sara, after studying the 2000 Supplement closely, I agree with your conclusion that, as a substantive matter, no revisions to our current Part 6 of the ISDA schedule are required.  As we have discussed, however, requests by counterparties to explicitly incorporate the 2000 Supplement will likely become more common.  As a pragmatic matter, then, I propose the attached revisions to Part 6, which do not amount to substantive changes but simply recognize the new terminology established by the 2000 Supplement.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0"/>
        <w:jc w:val="both"/>
        <w:rPr>
          <w:sz w:val="22"/>
        </w:rPr>
      </w:pPr>
      <w:r>
        <w:rPr>
          <w:sz w:val="22"/>
        </w:rPr>
        <w:t>The 2000 Supplement amends and restates Article 7 of the 1993 Commodity Derivatives Definition in its entirety, but affects no provisions outside Article 7.  The changes to Article 7 are as follows: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Section 7.1 – the listing of Commodity Reference Prices is significantly expanded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tabs>
          <w:tab w:val="left" w:pos="10800" w:leader="none"/>
        </w:tabs>
        <w:ind w:firstLine="558" w:start="90" w:end="0"/>
        <w:jc w:val="both"/>
        <w:rPr>
          <w:sz w:val="22"/>
        </w:rPr>
      </w:pPr>
      <w:r>
        <w:rPr>
          <w:sz w:val="22"/>
        </w:rPr>
        <w:t>Section 7.4 – a new subsection (D) is added to the Section 7.4(c)(i) definition of “Price Source Disruption”.  This new subsection introduces the concept of a “Price Materiality Percentage,” and provides that if prices quoted by reference dealers vary by a certain percentage or more from the otherwise-established reference price, such a variance constitutes a “Market Disruption Event.”  This subsection will only apply to a Transaction if the parties expressly provide for a Price Materiality Percentage in the relevant Confirmation.  Therefore, this new subsection does not require us to change our Part 6 language.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0"/>
        <w:jc w:val="both"/>
        <w:rPr>
          <w:sz w:val="22"/>
        </w:rPr>
      </w:pPr>
      <w:r>
        <w:rPr>
          <w:sz w:val="22"/>
        </w:rPr>
        <w:t>Section 7.5(c) – Two new “Disruption Fallbacks” are introduced – “Fallback Reference Dealers” and “Postponement-Fallback Reference Price.”  As you know, only those Disruption Fallbacks expressly selected in a contract or confirmation will be applicable, so no revisions are necessary if we do not wish these fallbacks to apply.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0"/>
        <w:jc w:val="both"/>
        <w:rPr>
          <w:sz w:val="22"/>
        </w:rPr>
      </w:pPr>
      <w:r>
        <w:rPr>
          <w:sz w:val="22"/>
        </w:rPr>
        <w:t>“</w:t>
      </w:r>
      <w:r>
        <w:rPr>
          <w:sz w:val="22"/>
        </w:rPr>
        <w:t>Fallback Reference Dealers” simply applies the “COMMODITY-REFERENCE DEALERS” mechanism, as does our current (iv) to Part 6(f) (with a revision).  The attached revision to Part 6(f)(iv) simply acknowledges the new terminology.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0"/>
        <w:jc w:val="both"/>
        <w:rPr>
          <w:sz w:val="22"/>
        </w:rPr>
      </w:pPr>
      <w:r>
        <w:rPr>
          <w:sz w:val="22"/>
        </w:rPr>
        <w:t>“</w:t>
      </w:r>
      <w:r>
        <w:rPr>
          <w:sz w:val="22"/>
        </w:rPr>
        <w:t xml:space="preserve">Postponement-Fallback Reference Price” is similar to Postponement in that it provides for a limited time period in which pricing may be postponed; however, it provides that if disruption occurs for longer than the limited time, then the next two fallback measures are triggered in the following order: Fallback Reference Price, and Fallback Reference Dealers.   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/>
      </w:r>
    </w:p>
    <w:p>
      <w:pPr>
        <w:pStyle w:val="Body"/>
        <w:ind w:firstLine="558" w:start="90" w:end="720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sz w:val="22"/>
        </w:rPr>
        <w:tab/>
        <w:tab/>
        <w:t xml:space="preserve">REB  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spacing w:before="240" w:after="0"/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/mnt/main-storage/datasets/enron-docs/doc/Shackleton_012301.doc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/mnt/main-storage/datasets/enron-docs/doc/Shackleton_012301.doc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>
        <w:sz w:val="20"/>
      </w:rPr>
      <w:tab/>
    </w:r>
    <w:r>
      <w:rPr>
        <w:b/>
        <w:smallCaps/>
        <w:sz w:val="20"/>
      </w:rPr>
      <w:t>Privileged and Confidential;</w:t>
    </w:r>
  </w:p>
  <w:p>
    <w:pPr>
      <w:pStyle w:val="Header"/>
      <w:tabs>
        <w:tab w:val="clear" w:pos="4320"/>
        <w:tab w:val="clear" w:pos="8640"/>
        <w:tab w:val="right" w:pos="9360" w:leader="none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\@"MMMM\ d', 'yyyy" </w:instrText>
    </w:r>
    <w:r>
      <w:rPr>
        <w:sz w:val="20"/>
      </w:rPr>
      <w:fldChar w:fldCharType="separate"/>
    </w:r>
    <w:r>
      <w:rPr>
        <w:sz w:val="20"/>
      </w:rPr>
      <w:t>September 28, 2025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Attorney Client Work Product;</w:t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Not Discoverable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2001-01-23T14:47:00Z</dcterms:created>
  <dc:creator>Jeff Ford</dc:creator>
  <dc:description/>
  <dc:language>en-CA</dc:language>
  <cp:lastModifiedBy>rbruce2</cp:lastModifiedBy>
  <cp:lastPrinted>2001-01-23T11:51:00Z</cp:lastPrinted>
  <dcterms:modified xsi:type="dcterms:W3CDTF">2001-01-23T15:21:00Z</dcterms:modified>
  <cp:revision>3</cp:revision>
  <dc:subject>Analysis of ECT's Financial, Power and Gas Forms</dc:subject>
  <dc:title>Eron Capital &amp; Trade Resources Memo</dc:title>
</cp:coreProperties>
</file>