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jc w:val="end"/>
        <w:rPr/>
      </w:pPr>
      <w:r>
        <w:rPr/>
      </w:r>
    </w:p>
    <w:p>
      <w:pPr>
        <w:pStyle w:val="BodyText"/>
        <w:widowControl/>
        <w:jc w:val="center"/>
        <w:rPr>
          <w:b/>
        </w:rPr>
      </w:pPr>
      <w:r>
        <w:rPr>
          <w:b/>
        </w:rPr>
        <w:t>PROMISSORY NOTE</w:t>
      </w:r>
    </w:p>
    <w:p>
      <w:pPr>
        <w:pStyle w:val="Normal"/>
        <w:widowControl/>
        <w:tabs>
          <w:tab w:val="clear" w:pos="720"/>
          <w:tab w:val="left" w:pos="-1440" w:leader="none"/>
          <w:tab w:val="left" w:pos="-720" w:leader="none"/>
        </w:tabs>
        <w:suppressAutoHyphens w:val="true"/>
        <w:rPr>
          <w:b/>
          <w:sz w:val="22"/>
        </w:rPr>
      </w:pPr>
      <w:r>
        <w:rPr>
          <w:b/>
          <w:sz w:val="22"/>
        </w:rPr>
      </w:r>
    </w:p>
    <w:p>
      <w:pPr>
        <w:pStyle w:val="Normal"/>
        <w:widowControl/>
        <w:tabs>
          <w:tab w:val="clear" w:pos="720"/>
          <w:tab w:val="left" w:pos="-1440" w:leader="none"/>
          <w:tab w:val="left" w:pos="-720" w:leader="none"/>
        </w:tabs>
        <w:suppressAutoHyphens w:val="true"/>
        <w:rPr>
          <w:sz w:val="22"/>
        </w:rPr>
      </w:pPr>
      <w:r>
        <w:rPr>
          <w:sz w:val="22"/>
        </w:rPr>
      </w:r>
    </w:p>
    <w:p>
      <w:pPr>
        <w:pStyle w:val="Normal"/>
        <w:widowControl/>
        <w:tabs>
          <w:tab w:val="clear" w:pos="720"/>
          <w:tab w:val="right" w:pos="9360" w:leader="none"/>
        </w:tabs>
        <w:suppressAutoHyphens w:val="true"/>
        <w:rPr/>
      </w:pPr>
      <w:r>
        <w:rPr>
          <w:sz w:val="22"/>
        </w:rPr>
        <w:t>$50,000,000</w:t>
        <w:tab/>
      </w:r>
      <w:r>
        <w:rPr>
          <w:strike/>
          <w:sz w:val="22"/>
        </w:rPr>
        <w:t>June 29</w:t>
      </w:r>
      <w:r>
        <w:rPr>
          <w:sz w:val="22"/>
        </w:rPr>
        <w:t xml:space="preserve"> </w:t>
      </w:r>
      <w:r>
        <w:rPr>
          <w:b/>
          <w:sz w:val="22"/>
          <w:u w:val="double"/>
        </w:rPr>
        <w:t>September [__]</w:t>
      </w:r>
      <w:r>
        <w:rPr>
          <w:sz w:val="22"/>
        </w:rPr>
        <w:t>, 2000</w:t>
      </w:r>
    </w:p>
    <w:p>
      <w:pPr>
        <w:pStyle w:val="Normal"/>
        <w:widowControl/>
        <w:tabs>
          <w:tab w:val="clear" w:pos="720"/>
          <w:tab w:val="right" w:pos="9360" w:leader="none"/>
        </w:tabs>
        <w:suppressAutoHyphens w:val="true"/>
        <w:rPr>
          <w:sz w:val="22"/>
        </w:rPr>
      </w:pPr>
      <w:r>
        <w:rPr>
          <w:sz w:val="22"/>
        </w:rPr>
        <w:tab/>
        <w:t>New York, New York</w:t>
      </w:r>
    </w:p>
    <w:p>
      <w:pPr>
        <w:pStyle w:val="Normal"/>
        <w:widowControl/>
        <w:tabs>
          <w:tab w:val="clear" w:pos="720"/>
          <w:tab w:val="left" w:pos="-1440" w:leader="none"/>
          <w:tab w:val="left" w:pos="-720" w:leader="none"/>
        </w:tabs>
        <w:suppressAutoHyphens w:val="true"/>
        <w:rPr>
          <w:sz w:val="22"/>
        </w:rPr>
      </w:pPr>
      <w:r>
        <w:rPr>
          <w:sz w:val="22"/>
        </w:rPr>
      </w:r>
    </w:p>
    <w:p>
      <w:pPr>
        <w:pStyle w:val="BodyText"/>
        <w:widowControl/>
        <w:rPr/>
      </w:pPr>
      <w:r>
        <w:rPr/>
        <w:tab/>
        <w:t xml:space="preserve">FOR VALUE RECEIVED, </w:t>
      </w:r>
      <w:r>
        <w:rPr>
          <w:strike/>
        </w:rPr>
        <w:t>GRIZZLY</w:t>
      </w:r>
      <w:r>
        <w:rPr/>
        <w:t xml:space="preserve"> </w:t>
      </w:r>
      <w:r>
        <w:rPr>
          <w:b/>
          <w:u w:val="double"/>
        </w:rPr>
        <w:t>ROADRUNNER</w:t>
      </w:r>
      <w:r>
        <w:rPr/>
        <w:t xml:space="preserve"> I</w:t>
      </w:r>
      <w:r>
        <w:rPr>
          <w:strike/>
        </w:rPr>
        <w:t>,</w:t>
      </w:r>
      <w:r>
        <w:rPr/>
        <w:t xml:space="preserve"> LLC, a limited liability company organized under the law of the State of Delaware (the "</w:t>
      </w:r>
      <w:r>
        <w:rPr>
          <w:u w:val="single"/>
        </w:rPr>
        <w:t>Payor</w:t>
      </w:r>
      <w:r>
        <w:rPr/>
        <w:t xml:space="preserve">"), hereby unconditionally promises to pay </w:t>
      </w:r>
      <w:r>
        <w:rPr>
          <w:strike/>
        </w:rPr>
        <w:t>TIMBERWOLF</w:t>
      </w:r>
      <w:r>
        <w:rPr/>
        <w:t xml:space="preserve"> </w:t>
      </w:r>
      <w:r>
        <w:rPr>
          <w:b/>
          <w:u w:val="double"/>
        </w:rPr>
        <w:t>BOBCAT</w:t>
      </w:r>
      <w:r>
        <w:rPr/>
        <w:t xml:space="preserve"> I</w:t>
      </w:r>
      <w:r>
        <w:rPr>
          <w:strike/>
        </w:rPr>
        <w:t>,</w:t>
      </w:r>
      <w:r>
        <w:rPr/>
        <w:t xml:space="preserve"> LLC, a limited liability company organized under the law of the State of Delaware (the "</w:t>
      </w:r>
      <w:r>
        <w:rPr>
          <w:u w:val="single"/>
        </w:rPr>
        <w:t>Payee</w:t>
      </w:r>
      <w:r>
        <w:rPr/>
        <w:t xml:space="preserve">"), on </w:t>
      </w:r>
      <w:r>
        <w:rPr>
          <w:strike/>
        </w:rPr>
        <w:t>June 29</w:t>
      </w:r>
      <w:r>
        <w:rPr/>
        <w:t xml:space="preserve"> </w:t>
      </w:r>
      <w:r>
        <w:rPr>
          <w:b/>
          <w:u w:val="double"/>
        </w:rPr>
        <w:t>September [__]</w:t>
      </w:r>
      <w:r>
        <w:rPr/>
        <w:t xml:space="preserve">, 2005 (or, if earlier, the termination of </w:t>
      </w:r>
      <w:r>
        <w:rPr>
          <w:strike/>
        </w:rPr>
        <w:t>Timberwolf</w:t>
      </w:r>
      <w:r>
        <w:rPr/>
        <w:t xml:space="preserve"> </w:t>
      </w:r>
      <w:r>
        <w:rPr>
          <w:b/>
          <w:u w:val="double"/>
        </w:rPr>
        <w:t>Bobcat</w:t>
      </w:r>
      <w:r>
        <w:rPr/>
        <w:t xml:space="preserve"> I</w:t>
      </w:r>
      <w:r>
        <w:rPr>
          <w:strike/>
        </w:rPr>
        <w:t>,</w:t>
      </w:r>
      <w:r>
        <w:rPr/>
        <w:t xml:space="preserve"> LLC pursuant to Section 11.1(c) the </w:t>
      </w:r>
      <w:r>
        <w:rPr>
          <w:strike/>
        </w:rPr>
        <w:t>Timberwolf</w:t>
      </w:r>
      <w:r>
        <w:rPr/>
        <w:t xml:space="preserve"> </w:t>
      </w:r>
      <w:r>
        <w:rPr>
          <w:b/>
          <w:u w:val="double"/>
        </w:rPr>
        <w:t>Bobcat</w:t>
      </w:r>
      <w:r>
        <w:rPr/>
        <w:t xml:space="preserve"> Limited Liability Company Agreement (as defined below)) the principal sum of FIFTY MILLION DOLLARS ($50,000,000) or, if less, the unpaid principal amount of this Note as reflected on the grid attached hereto as </w:t>
      </w:r>
      <w:r>
        <w:rPr>
          <w:u w:val="single"/>
        </w:rPr>
        <w:t>Schedule I</w:t>
      </w:r>
      <w:r>
        <w:rPr/>
        <w:t>, and to pay interest on the unpaid principal amount of this Note as provided herein.</w:t>
      </w:r>
    </w:p>
    <w:p>
      <w:pPr>
        <w:pStyle w:val="Heading2"/>
        <w:widowControl/>
        <w:ind w:hanging="0" w:start="0"/>
        <w:jc w:val="center"/>
        <w:rPr>
          <w:caps w:val="false"/>
          <w:smallCaps w:val="false"/>
        </w:rPr>
      </w:pPr>
      <w:r>
        <w:rPr>
          <w:caps w:val="false"/>
          <w:smallCaps w:val="false"/>
        </w:rPr>
        <w:t>SECTION 1</w:t>
      </w:r>
    </w:p>
    <w:p>
      <w:pPr>
        <w:pStyle w:val="Heading2"/>
        <w:widowControl/>
        <w:ind w:hanging="0" w:start="0"/>
        <w:jc w:val="center"/>
        <w:rPr>
          <w:b w:val="false"/>
          <w:caps w:val="false"/>
          <w:smallCaps w:val="false"/>
        </w:rPr>
      </w:pPr>
      <w:r>
        <w:rPr>
          <w:caps w:val="false"/>
          <w:smallCaps w:val="false"/>
        </w:rPr>
        <w:t>DEFINITIONS</w:t>
      </w:r>
    </w:p>
    <w:p>
      <w:pPr>
        <w:pStyle w:val="BodyText"/>
        <w:widowControl/>
        <w:rPr/>
      </w:pPr>
      <w:r>
        <w:rPr/>
        <w:tab/>
        <w:t>As used herein, the following terms have the following respective meanings:</w:t>
      </w:r>
    </w:p>
    <w:p>
      <w:pPr>
        <w:pStyle w:val="BodyText"/>
        <w:widowControl/>
        <w:rPr/>
      </w:pPr>
      <w:r>
        <w:rPr/>
        <w:tab/>
      </w:r>
      <w:r>
        <w:rPr>
          <w:b/>
          <w:u w:val="double"/>
        </w:rPr>
        <w:t>"Bobcat Limited Liability Company Agreement" has the meaning specified in the Roadrunner Schedule.</w:t>
      </w:r>
    </w:p>
    <w:p>
      <w:pPr>
        <w:pStyle w:val="BodyText"/>
        <w:widowControl/>
        <w:rPr/>
      </w:pPr>
      <w:r>
        <w:rPr/>
        <w:tab/>
        <w:t>"</w:t>
      </w:r>
      <w:r>
        <w:rPr>
          <w:u w:val="single"/>
        </w:rPr>
        <w:t>Business Day</w:t>
      </w:r>
      <w:r>
        <w:rPr/>
        <w:t>" means a day on which commercial banks are open for business (including dealings in foreign exchange and foreign currency deposits) in Houston, Texas.</w:t>
      </w:r>
    </w:p>
    <w:p>
      <w:pPr>
        <w:pStyle w:val="BodyText"/>
        <w:widowControl/>
        <w:rPr/>
      </w:pPr>
      <w:r>
        <w:rPr/>
        <w:tab/>
        <w:t>"</w:t>
      </w:r>
      <w:r>
        <w:rPr>
          <w:u w:val="single"/>
        </w:rPr>
        <w:t>Claims</w:t>
      </w:r>
      <w:r>
        <w:rPr/>
        <w:t>" has the meaning specified in Section 4.6 of this Note.</w:t>
      </w:r>
    </w:p>
    <w:p>
      <w:pPr>
        <w:pStyle w:val="BodyText"/>
        <w:widowControl/>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BodyText"/>
        <w:widowControl/>
        <w:rPr/>
      </w:pPr>
      <w:r>
        <w:rPr/>
        <w:tab/>
        <w:t>"</w:t>
      </w:r>
      <w:r>
        <w:rPr>
          <w:u w:val="single"/>
        </w:rPr>
        <w:t>Dollars</w:t>
      </w:r>
      <w:r>
        <w:rPr/>
        <w:t>" and "</w:t>
      </w:r>
      <w:r>
        <w:rPr>
          <w:u w:val="single"/>
        </w:rPr>
        <w:t>$</w:t>
      </w:r>
      <w:r>
        <w:rPr/>
        <w:t>" means lawful money of the United States of America.</w:t>
      </w:r>
    </w:p>
    <w:p>
      <w:pPr>
        <w:pStyle w:val="BodyText"/>
        <w:widowControl/>
        <w:rPr/>
      </w:pPr>
      <w:r>
        <w:rPr/>
        <w:tab/>
        <w:t>"</w:t>
      </w:r>
      <w:r>
        <w:rPr>
          <w:u w:val="single"/>
        </w:rPr>
        <w:t>Enron Put Agreement</w:t>
      </w:r>
      <w:r>
        <w:rPr/>
        <w:t xml:space="preserve">" means the 1992 ISDA Master Agreement dated as of </w:t>
      </w:r>
      <w:r>
        <w:rPr>
          <w:strike/>
        </w:rPr>
        <w:t>June 29</w:t>
      </w:r>
      <w:r>
        <w:rPr/>
        <w:t xml:space="preserve"> </w:t>
      </w:r>
      <w:r>
        <w:rPr>
          <w:b/>
          <w:u w:val="double"/>
        </w:rPr>
        <w:t>September [__]</w:t>
      </w:r>
      <w:r>
        <w:rPr/>
        <w:t xml:space="preserve">, 2000 between Enron Corp. and </w:t>
      </w:r>
      <w:r>
        <w:rPr>
          <w:strike/>
        </w:rPr>
        <w:t>Timberwolf</w:t>
      </w:r>
      <w:r>
        <w:rPr/>
        <w:t xml:space="preserve"> </w:t>
      </w:r>
      <w:r>
        <w:rPr>
          <w:b/>
          <w:u w:val="double"/>
        </w:rPr>
        <w:t>Bobcat</w:t>
      </w:r>
      <w:r>
        <w:rPr/>
        <w:t xml:space="preserve"> I</w:t>
      </w:r>
      <w:r>
        <w:rPr>
          <w:strike/>
        </w:rPr>
        <w:t>,</w:t>
      </w:r>
      <w:r>
        <w:rPr/>
        <w:t xml:space="preserve"> LLC, together with the Schedule thereto (the "</w:t>
      </w:r>
      <w:r>
        <w:rPr>
          <w:u w:val="single"/>
        </w:rPr>
        <w:t>Enron Schedule</w:t>
      </w:r>
      <w:r>
        <w:rPr/>
        <w:t>") and any confirmation evidencing a transaction or transactions thereunder, as modified and supplemented and in effect from time to time.</w:t>
      </w:r>
    </w:p>
    <w:p>
      <w:pPr>
        <w:pStyle w:val="BodyText"/>
        <w:widowControl/>
        <w:rPr/>
      </w:pPr>
      <w:r>
        <w:rPr/>
        <w:tab/>
        <w:t>"</w:t>
      </w:r>
      <w:r>
        <w:rPr>
          <w:u w:val="single"/>
        </w:rPr>
        <w:t>Event of Default</w:t>
      </w:r>
      <w:r>
        <w:rPr/>
        <w:t xml:space="preserve">" means either of the following:  (a) the occurrence or effective designation (including a deemed designation) of an Early Termination Date (under and as defined in the </w:t>
      </w:r>
      <w:r>
        <w:rPr>
          <w:strike/>
        </w:rPr>
        <w:t>Grizzly</w:t>
      </w:r>
      <w:r>
        <w:rPr/>
        <w:t xml:space="preserve"> </w:t>
      </w:r>
      <w:r>
        <w:rPr>
          <w:b/>
          <w:u w:val="double"/>
        </w:rPr>
        <w:t>Roadrunner</w:t>
      </w:r>
      <w:r>
        <w:rPr/>
        <w:t xml:space="preserve"> Swap Agreement) with respect to all Transactions (as defined in the </w:t>
      </w:r>
      <w:r>
        <w:rPr>
          <w:strike/>
        </w:rPr>
        <w:t>Grizzly</w:t>
      </w:r>
      <w:r>
        <w:rPr/>
        <w:t xml:space="preserve"> </w:t>
      </w:r>
      <w:r>
        <w:rPr>
          <w:b/>
          <w:u w:val="double"/>
        </w:rPr>
        <w:t>Roadrunner</w:t>
      </w:r>
      <w:r>
        <w:rPr/>
        <w:t xml:space="preserve"> Swap Agreement) other than any such date designated or deemed designated solely as a result of an event or events described in any of clauses (i) through (iii) of Section 5(b) of the </w:t>
      </w:r>
      <w:r>
        <w:rPr>
          <w:strike/>
        </w:rPr>
        <w:t>Grizzly</w:t>
      </w:r>
      <w:r>
        <w:rPr/>
        <w:t xml:space="preserve"> </w:t>
      </w:r>
      <w:r>
        <w:rPr>
          <w:b/>
          <w:u w:val="double"/>
        </w:rPr>
        <w:t>Roadrunner</w:t>
      </w:r>
      <w:r>
        <w:rPr/>
        <w:t xml:space="preserve"> Swap Agreement or (b) the occurrence or effective designation (including a deemed designation) of an Early Termination Date (under and as defined in the Enron Put Agreement) with respect to all Transactions (as defined in the Enron Put Agreement) other than any such date designated or deemed designated solely as a result of an event or events described in any of clauses (i) through (iii) of Section 5(b) of the Enron Put Agreement.</w:t>
      </w:r>
    </w:p>
    <w:p>
      <w:pPr>
        <w:pStyle w:val="BodyText"/>
        <w:widowControl/>
        <w:rPr/>
      </w:pPr>
      <w:r>
        <w:rPr/>
        <w:tab/>
      </w:r>
      <w:r>
        <w:rPr>
          <w:strike/>
        </w:rPr>
        <w:t>"Grizzly Principal Decrease Adjustment" has the meaning specified in Part 5(m)(i)(B) of the Grizzly Schedule.</w:t>
      </w:r>
    </w:p>
    <w:p>
      <w:pPr>
        <w:pStyle w:val="BodyText"/>
        <w:widowControl/>
        <w:rPr>
          <w:strike/>
        </w:rPr>
      </w:pPr>
      <w:r>
        <w:rPr>
          <w:strike/>
        </w:rPr>
        <w:t>"Grizzly Swap Agreement" means the 1992 ISDA Master Agreement dated as of June 29, 2000 between Grizzly I, LLC and Timberwolf I, LLC, together with the Schedule thereto (the "Grizzly Schedule") and any confirmation evidencing a transaction or transactions thereunder, as modified and supplemented and in effect from time to time.</w:t>
      </w:r>
    </w:p>
    <w:p>
      <w:pPr>
        <w:pStyle w:val="BodyText"/>
        <w:widowControl/>
        <w:rPr/>
      </w:pPr>
      <w:r>
        <w:rPr/>
        <w:t>"</w:t>
      </w:r>
      <w:r>
        <w:rPr>
          <w:u w:val="single"/>
        </w:rPr>
        <w:t>Master Derivatives Agreement</w:t>
      </w:r>
      <w:r>
        <w:rPr/>
        <w:t xml:space="preserve">" means the Master Derivatives Agreement dated as of </w:t>
      </w:r>
      <w:r>
        <w:rPr>
          <w:strike/>
        </w:rPr>
        <w:t>June 29,</w:t>
      </w:r>
      <w:r>
        <w:rPr/>
        <w:t xml:space="preserve"> </w:t>
      </w:r>
      <w:r>
        <w:rPr>
          <w:b/>
          <w:u w:val="double"/>
        </w:rPr>
        <w:t>September [__],</w:t>
      </w:r>
      <w:r>
        <w:rPr/>
        <w:t xml:space="preserve"> 2000 between </w:t>
      </w:r>
      <w:r>
        <w:rPr>
          <w:strike/>
        </w:rPr>
        <w:t>Grizzly</w:t>
      </w:r>
      <w:r>
        <w:rPr/>
        <w:t xml:space="preserve"> </w:t>
      </w:r>
      <w:r>
        <w:rPr>
          <w:b/>
          <w:u w:val="double"/>
        </w:rPr>
        <w:t>Roadrunner</w:t>
      </w:r>
      <w:r>
        <w:rPr/>
        <w:t xml:space="preserve"> I</w:t>
      </w:r>
      <w:r>
        <w:rPr>
          <w:strike/>
        </w:rPr>
        <w:t>,</w:t>
      </w:r>
      <w:r>
        <w:rPr/>
        <w:t xml:space="preserve"> LLC and </w:t>
      </w:r>
      <w:r>
        <w:rPr>
          <w:strike/>
        </w:rPr>
        <w:t>Timberwolf</w:t>
      </w:r>
      <w:r>
        <w:rPr/>
        <w:t xml:space="preserve"> </w:t>
      </w:r>
      <w:r>
        <w:rPr>
          <w:b/>
          <w:u w:val="double"/>
        </w:rPr>
        <w:t>Bobcat</w:t>
      </w:r>
      <w:r>
        <w:rPr/>
        <w:t xml:space="preserve"> I</w:t>
      </w:r>
      <w:r>
        <w:rPr>
          <w:strike/>
        </w:rPr>
        <w:t>,</w:t>
      </w:r>
      <w:r>
        <w:rPr/>
        <w:t xml:space="preserve"> LLC, as the same may be amended, supplemented or otherwise modified from time to time in accordance with its terms.</w:t>
      </w:r>
    </w:p>
    <w:p>
      <w:pPr>
        <w:pStyle w:val="BodyText"/>
        <w:widowControl/>
        <w:rPr/>
      </w:pPr>
      <w:r>
        <w:rPr/>
        <w:tab/>
        <w:t>"</w:t>
      </w:r>
      <w:r>
        <w:rPr>
          <w:u w:val="single"/>
        </w:rPr>
        <w:t>Other Taxes</w:t>
      </w:r>
      <w:r>
        <w:rPr/>
        <w:t>" has the meaning specified in Section 2.4(d) of this Note.</w:t>
      </w:r>
    </w:p>
    <w:p>
      <w:pPr>
        <w:pStyle w:val="BodyText"/>
        <w:widowControl/>
        <w:rPr/>
      </w:pPr>
      <w:r>
        <w:rPr/>
        <w:tab/>
        <w:t>"</w:t>
      </w:r>
      <w:r>
        <w:rPr>
          <w:u w:val="single"/>
        </w:rPr>
        <w:t>Person</w:t>
      </w:r>
      <w:r>
        <w:rPr/>
        <w:t>" means any natural person, corporation, limited liability company, trust, joint venture, association, company, partnership, governmental authority or other entity.</w:t>
      </w:r>
    </w:p>
    <w:p>
      <w:pPr>
        <w:pStyle w:val="BodyText"/>
        <w:widowControl/>
        <w:rPr/>
      </w:pPr>
      <w:r>
        <w:rPr/>
        <w:tab/>
        <w:t>"</w:t>
      </w:r>
      <w:r>
        <w:rPr>
          <w:u w:val="single"/>
        </w:rPr>
        <w:t>Post-Default Rate</w:t>
      </w:r>
      <w:r>
        <w:rPr/>
        <w:t>" has the meaning specified in Section 2.1 of this Note.</w:t>
      </w:r>
    </w:p>
    <w:p>
      <w:pPr>
        <w:pStyle w:val="BodyText"/>
        <w:widowControl/>
        <w:rPr/>
      </w:pPr>
      <w:r>
        <w:rPr/>
        <w:tab/>
        <w:t>"</w:t>
      </w:r>
      <w:r>
        <w:rPr>
          <w:u w:val="single"/>
        </w:rPr>
        <w:t>Prescribed Forms</w:t>
      </w:r>
      <w:r>
        <w:rPr/>
        <w:t>" means such duly executed form(s) or statement(s), and in such number of copies, which may, from time to time, be prescribed by law and which, pursuant to applicable provisions of (a) an income tax treaty between the United States and the country of residence of the Payee, (b) the Code, or (c) any applicable rule or regulation under the Code, permit the Payor to make payments hereunder for the account of the Payee free of deduction or withholding of income or similar taxes (except for any deduction or withholding of income or similar taxes as a result of any change in or in the interpretation of any such treaty, the Code or any such rule or regulation).</w:t>
      </w:r>
    </w:p>
    <w:p>
      <w:pPr>
        <w:pStyle w:val="BodyText"/>
        <w:widowControl/>
        <w:rPr/>
      </w:pPr>
      <w:r>
        <w:rPr/>
        <w:tab/>
      </w:r>
      <w:r>
        <w:rPr>
          <w:strike/>
        </w:rPr>
        <w:t>"Timberwolf Limited Liability Company Agreement</w:t>
      </w:r>
      <w:r>
        <w:rPr>
          <w:b/>
          <w:u w:val="double"/>
        </w:rPr>
        <w:t>"Roadrunner Principal Decrease Adjustment</w:t>
      </w:r>
      <w:r>
        <w:rPr/>
        <w:t xml:space="preserve">" has the meaning specified in </w:t>
      </w:r>
      <w:r>
        <w:rPr>
          <w:strike/>
        </w:rPr>
        <w:t>the Grizzly Schedule.</w:t>
      </w:r>
      <w:r>
        <w:rPr/>
        <w:t xml:space="preserve"> </w:t>
      </w:r>
      <w:r>
        <w:rPr>
          <w:b/>
          <w:u w:val="double"/>
        </w:rPr>
        <w:t>Part 5(m)(i)(B) of the Roadrunner Schedule.</w:t>
      </w:r>
    </w:p>
    <w:p>
      <w:pPr>
        <w:pStyle w:val="BodyText"/>
        <w:widowControl/>
        <w:rPr/>
      </w:pPr>
      <w:r>
        <w:rPr/>
        <w:tab/>
      </w:r>
      <w:r>
        <w:rPr>
          <w:b/>
          <w:u w:val="double"/>
        </w:rPr>
        <w:t>"Roadrunner Swap Agreement" means the 1992 ISDA Master Agreement dated as of September [__], 2000 between Roadrunner I LLC and Bobcat I LLC, together with the Schedule thereto (the "Roadrunner Schedule") and any confirmation evidencing a transaction or transactions thereunder, as modified and supplemented and in effect from time to time.</w:t>
      </w:r>
    </w:p>
    <w:p>
      <w:pPr>
        <w:pStyle w:val="BodyText"/>
        <w:widowControl/>
        <w:rPr/>
      </w:pPr>
      <w:r>
        <w:rPr/>
        <w:tab/>
        <w:t>"</w:t>
      </w:r>
      <w:r>
        <w:rPr>
          <w:u w:val="single"/>
        </w:rPr>
        <w:t>Taxes</w:t>
      </w:r>
      <w:r>
        <w:rPr/>
        <w:t>" has the meaning specified in Section 2.4(b) of this Note.</w:t>
      </w:r>
    </w:p>
    <w:p>
      <w:pPr>
        <w:pStyle w:val="Heading2"/>
        <w:widowControl/>
        <w:ind w:hanging="0" w:start="0"/>
        <w:jc w:val="center"/>
        <w:rPr>
          <w:caps w:val="false"/>
          <w:smallCaps w:val="false"/>
        </w:rPr>
      </w:pPr>
      <w:r>
        <w:rPr>
          <w:caps w:val="false"/>
          <w:smallCaps w:val="false"/>
        </w:rPr>
        <w:t>SECTION 2</w:t>
      </w:r>
    </w:p>
    <w:p>
      <w:pPr>
        <w:pStyle w:val="Heading2"/>
        <w:widowControl/>
        <w:ind w:hanging="0" w:start="0"/>
        <w:jc w:val="center"/>
        <w:rPr>
          <w:b w:val="false"/>
          <w:caps w:val="false"/>
          <w:smallCaps w:val="false"/>
        </w:rPr>
      </w:pPr>
      <w:r>
        <w:rPr>
          <w:caps w:val="false"/>
          <w:smallCaps w:val="false"/>
        </w:rPr>
        <w:t>PAYMENTS OF PRINCIPAL AND INTEREST</w:t>
      </w:r>
    </w:p>
    <w:p>
      <w:pPr>
        <w:pStyle w:val="BodyText"/>
        <w:widowControl/>
        <w:rPr/>
      </w:pPr>
      <w:r>
        <w:rPr/>
        <w:tab/>
      </w:r>
      <w:r>
        <w:rPr>
          <w:b/>
        </w:rPr>
        <w:t>Section 2.1.</w:t>
      </w:r>
      <w:r>
        <w:rPr/>
        <w:t xml:space="preserve">  </w:t>
      </w:r>
      <w:r>
        <w:rPr>
          <w:b/>
        </w:rPr>
        <w:t>Interest.</w:t>
      </w:r>
      <w:r>
        <w:rPr/>
        <w:t xml:space="preserve">  The Payor hereby unconditionally promises to pay to the Payee interest on the unpaid principal amount of this Note for the period from and including the date hereof to but excluding the date that the principal of this Note shall be paid in full, at a rate per annum equal to 7.0%.  Notwithstanding the foregoing, the Payor hereby unconditionally promises to pay to the Payee interest on any principal or interest payable by the Payor under this Note that shall not be paid in full when due (whether at stated maturity, by acceleration, upon optional or mandatory prepayment or otherwise), for the period from and including the due date of such payment to but excluding the date the same is paid in full, at a rate per annum equal to 9.0% (the "</w:t>
      </w:r>
      <w:r>
        <w:rPr>
          <w:u w:val="single"/>
        </w:rPr>
        <w:t>Post-Default Rate</w:t>
      </w:r>
      <w:r>
        <w:rPr/>
        <w:t xml:space="preserve">").  Accrued interest shall be payable (a) semi-annually on </w:t>
      </w:r>
      <w:r>
        <w:rPr>
          <w:strike/>
        </w:rPr>
        <w:t>June 29 and December 29</w:t>
      </w:r>
      <w:r>
        <w:rPr/>
        <w:t xml:space="preserve"> </w:t>
      </w:r>
      <w:r>
        <w:rPr>
          <w:b/>
          <w:u w:val="double"/>
        </w:rPr>
        <w:t>September [__] and March [__]</w:t>
      </w:r>
      <w:r>
        <w:rPr/>
        <w:t xml:space="preserve"> of each year, commencing with </w:t>
      </w:r>
      <w:r>
        <w:rPr>
          <w:strike/>
        </w:rPr>
        <w:t>December 29, 2000</w:t>
      </w:r>
      <w:r>
        <w:rPr/>
        <w:t xml:space="preserve"> </w:t>
      </w:r>
      <w:r>
        <w:rPr>
          <w:b/>
          <w:u w:val="double"/>
        </w:rPr>
        <w:t>March [__], 2001</w:t>
      </w:r>
      <w:r>
        <w:rPr/>
        <w:t xml:space="preserve"> (or, if any such day is not a Business Day, on the immediately succeeding Business Day), (b) upon the payment or prepayment (other than in connection with a </w:t>
      </w:r>
      <w:r>
        <w:rPr>
          <w:strike/>
        </w:rPr>
        <w:t>Grizzly</w:t>
      </w:r>
      <w:r>
        <w:rPr/>
        <w:t xml:space="preserve"> </w:t>
      </w:r>
      <w:r>
        <w:rPr>
          <w:b/>
          <w:u w:val="double"/>
        </w:rPr>
        <w:t>Roadrunner</w:t>
      </w:r>
      <w:r>
        <w:rPr/>
        <w:t xml:space="preserve"> Principal Decrease Adjustment) of any principal owing under this Note (but only on the principal amount so paid or prepaid) and (c) in the case of interest payable at the Post-Default Rate, from time to time on demand of the Payee.  Interest payable under this Note shall be computed on the basis of a year of 360 days and actual days elapsed (including the first day but excluding the last day) occurring in the period for which payable.</w:t>
      </w:r>
    </w:p>
    <w:p>
      <w:pPr>
        <w:pStyle w:val="BodyText"/>
        <w:widowControl/>
        <w:rPr/>
      </w:pPr>
      <w:r>
        <w:rPr/>
        <w:tab/>
      </w:r>
      <w:r>
        <w:rPr>
          <w:b/>
        </w:rPr>
        <w:t>Section 2.2.  Adjustments to Principal Amount.</w:t>
      </w:r>
      <w:r>
        <w:rPr/>
        <w:t xml:space="preserve">  The principal amount of this Note shall be reduced by the amount of any payment of principal by the Payor to the Payee and shall be increased by the amount of any loan made by the Payee to the Payor under this Note.  The outstanding principal amount of this Note also shall be subject to reduction in accordance with Part 5(m)(i)(B) </w:t>
      </w:r>
      <w:r>
        <w:rPr>
          <w:strike/>
        </w:rPr>
        <w:t>(Grizzly</w:t>
      </w:r>
      <w:r>
        <w:rPr>
          <w:b/>
          <w:u w:val="double"/>
        </w:rPr>
        <w:t>(Roadrunner</w:t>
      </w:r>
      <w:r>
        <w:rPr/>
        <w:t xml:space="preserve"> Principal Decrease Adjustments) of the </w:t>
      </w:r>
      <w:r>
        <w:rPr>
          <w:strike/>
        </w:rPr>
        <w:t>Grizzly</w:t>
      </w:r>
      <w:r>
        <w:rPr/>
        <w:t xml:space="preserve"> </w:t>
      </w:r>
      <w:r>
        <w:rPr>
          <w:b/>
          <w:u w:val="double"/>
        </w:rPr>
        <w:t>Roadrunner</w:t>
      </w:r>
      <w:r>
        <w:rPr/>
        <w:t xml:space="preserve"> Schedule.</w:t>
      </w:r>
    </w:p>
    <w:p>
      <w:pPr>
        <w:pStyle w:val="BodyText"/>
        <w:widowControl/>
        <w:rPr/>
      </w:pPr>
      <w:r>
        <w:rPr/>
        <w:tab/>
      </w:r>
      <w:r>
        <w:rPr>
          <w:b/>
        </w:rPr>
        <w:t xml:space="preserve">Section 2.3.  Recordation of Amounts Owing.  </w:t>
      </w:r>
      <w:r>
        <w:rPr/>
        <w:t xml:space="preserve">The Payee is hereby authorized to record the loan made hereunder and all payments and prepayments hereunder (including all </w:t>
      </w:r>
      <w:r>
        <w:rPr>
          <w:strike/>
        </w:rPr>
        <w:t>Grizzly</w:t>
      </w:r>
      <w:r>
        <w:rPr/>
        <w:t xml:space="preserve"> </w:t>
      </w:r>
      <w:r>
        <w:rPr>
          <w:b/>
          <w:u w:val="double"/>
        </w:rPr>
        <w:t>Roadrunner</w:t>
      </w:r>
      <w:r>
        <w:rPr/>
        <w:t xml:space="preserve"> Principal Decrease Adjustments) on Schedule I attached hereto and made part hereof for all purposes and to provide continuations to such Schedule as may be necessary.  Such record shall, absent manifest error, be conclusive evidence of such amounts.  The failure of the Payee to record any such amounts shall not diminish or impair the Payor's obligation to repay all principal advanced and to pay all interest accruing under this Note.  Prior to any sale, assignment or transfer of this Note, each payment of principal theretofore made under this Note shall be endorsed by the Payee on Schedule I hereto (or any continuation of said Schedule).</w:t>
      </w:r>
    </w:p>
    <w:p>
      <w:pPr>
        <w:pStyle w:val="BodyText"/>
        <w:widowControl/>
        <w:rPr/>
      </w:pPr>
      <w:r>
        <w:rPr>
          <w:b/>
        </w:rPr>
        <w:tab/>
        <w:t xml:space="preserve">Section 2.4.  Manner of Payment; Taxes.  </w:t>
      </w:r>
      <w:r>
        <w:rPr/>
        <w:t>(a)  All payments of principal and interest to be made by the Payor under this Note shall be made in Dollars, in immediately available funds, by wire transfer to an account at a commercial bank located in the United States of America (which account shall be identified in a notice to the Payor not later than three Business Days prior to the date of such payment), not later than 1:00 p.m. New York time on the date on which such payment shall become due (each such payment made after such time on such due date to be deemed to have been made on the next succeeding Business Day).  The Payor shall, at the time of making each payment under this Note, specify to the Payee the amounts payable by the Payor under this Note to which such payment is to be applied, in which case such payment shall be so applied (and in the event that the Payor fails to so specify, or if an Event of Default has occurred and is continuing, such payment shall be applied in such manner as is determined to be appropriate by the Payee).</w:t>
      </w:r>
    </w:p>
    <w:p>
      <w:pPr>
        <w:pStyle w:val="BodyText"/>
        <w:widowControl/>
        <w:rPr/>
      </w:pPr>
      <w:r>
        <w:rPr/>
        <w:tab/>
        <w:tab/>
        <w:t>(b)</w:t>
        <w:tab/>
        <w:t xml:space="preserve">Except as otherwise provided by this Note, any and all payments by the Payor hereunder shall be made, in accordance with this Section 2.4, free and clear of and without deduction for any and all present or future taxes, levies, imposts, deductions, charges, fees, duties or withholdings, and all liabilities with respect thereto, </w:t>
      </w:r>
      <w:r>
        <w:rPr>
          <w:u w:val="single"/>
        </w:rPr>
        <w:t>excluding</w:t>
      </w:r>
      <w:r>
        <w:rPr/>
        <w:t>, in the case of the Payee, (1) taxes imposed on its income, and franchise taxes imposed on it, by the jurisdiction under the laws of which (or by a jurisdiction under the laws of a political subdivision of which) the Payee is organized or any political subdivision thereof and (2) any taxes imposed by the United States of America by means of withholding at the source if and to the extent that such taxes shall be in effect and shall be applicable, on the date hereof, to payments to be made to the Payee (all such non-excluded taxes, levies, imposts, deductions, charges, fees, duties, withholdings and liabilities being hereinafter referred to as "</w:t>
      </w:r>
      <w:r>
        <w:rPr>
          <w:u w:val="single"/>
        </w:rPr>
        <w:t>Taxes</w:t>
      </w:r>
      <w:r>
        <w:rPr/>
        <w:t>").  If the Payor shall be required by law to deduct any Taxes from or in respect of any sum payable hereunder to the Payee, (i) the sum payable shall be increased as may be necessary so that after making all required deductions (including deductions applicable to additional sums payable under this Section 2.4) the Payee receives an amount equal to the sum it would have received had no such deductions been made, (ii) the Payor shall make such deductions and (iii) the Payor shall pay the full amount deducted to the relevant taxation authority or other authority in accordance with applicable law.</w:t>
      </w:r>
    </w:p>
    <w:p>
      <w:pPr>
        <w:pStyle w:val="BodyText"/>
        <w:widowControl/>
        <w:rPr/>
      </w:pPr>
      <w:r>
        <w:rPr/>
        <w:tab/>
        <w:tab/>
        <w:t>(c)</w:t>
        <w:tab/>
        <w:t xml:space="preserve">Notwithstanding anything to the contrary contained in this Note, the Payor shall be entitled, to the extent it is required to do so by law, to deduct or withhold income or other similar taxes imposed by the United States of America from interest, fees or other amounts payable hereunder for the account of the Payee (without the payment by the Payor of increased amounts to the Payee pursuant to clause (b) above) other than a Payee (i) which is a domestic corporation (as such term is defined in Section 7701 of the Code) for Federal income tax purposes or (ii) which has the Prescribed Forms on file with the Payor for the applicable year to the extent deduction or withholding of such taxes is not required as a result of the filing of such Prescribed Forms, </w:t>
      </w:r>
      <w:r>
        <w:rPr>
          <w:u w:val="single"/>
        </w:rPr>
        <w:t>provided</w:t>
      </w:r>
      <w:r>
        <w:rPr/>
        <w:t xml:space="preserve"> that, if the Payor shall so deduct or withhold any such taxes, it shall provide a statement to the Payee, setting forth the amount of such taxes so deducted or withheld, the applicable rate and any other information or documentation which the Payee may reasonably request for assisting it to obtain any allowable credits or deductions for the taxes so deducted or withheld in the jurisdiction or jurisdictions in which the Payee is subject to tax.</w:t>
      </w:r>
    </w:p>
    <w:p>
      <w:pPr>
        <w:pStyle w:val="BodyText"/>
        <w:widowControl/>
        <w:rPr/>
      </w:pPr>
      <w:r>
        <w:rPr/>
        <w:tab/>
        <w:tab/>
        <w:t>(d)</w:t>
        <w:tab/>
        <w:t>In addition, the Payor agrees to pay any present or future stamp or documentary taxes or any other excise or property taxes, charges or similar levies which arise from any payment made hereunder  or from the execution, delivery or registration of, or otherwise with respect to, this Note (hereinafter referred to as "</w:t>
      </w:r>
      <w:r>
        <w:rPr>
          <w:u w:val="single"/>
        </w:rPr>
        <w:t>Other Taxes</w:t>
      </w:r>
      <w:r>
        <w:rPr/>
        <w:t>").</w:t>
      </w:r>
    </w:p>
    <w:p>
      <w:pPr>
        <w:pStyle w:val="BodyText"/>
        <w:widowControl/>
        <w:rPr/>
      </w:pPr>
      <w:r>
        <w:rPr/>
        <w:tab/>
        <w:tab/>
        <w:t>(e)</w:t>
        <w:tab/>
        <w:t>The Payor, to the fullest extent permitted by law, will indemnify the Payee for the full amount of Taxes or Other Taxes (including, without limitation, any Taxes or Other Taxes imposed by any jurisdiction on amounts payable under this Section 2.4) paid by the Payee and any liability (including penalties, interest and expenses) arising therefrom or with respect thereto except as a result of the gross negligence or willful misconduct of the Payee, whether or not such Taxes or Other Taxes were correctly or legally asserted.  This indemnification shall be made within 30 days from the date the Payee makes written demand therefor.  The Payee shall not be indemnified for Taxes incurred or accrued more than 90 days prior to the date that the Payee notifies the Payor thereof.</w:t>
      </w:r>
    </w:p>
    <w:p>
      <w:pPr>
        <w:pStyle w:val="BodyText"/>
        <w:widowControl/>
        <w:rPr/>
      </w:pPr>
      <w:r>
        <w:rPr/>
        <w:tab/>
        <w:tab/>
        <w:t>(f)</w:t>
        <w:tab/>
        <w:t>Within 30 days after the date of any payment of Taxes by or at the direction of the Payor, the Payor will furnish to the Payee, at its address referred to in Section 4.2, (i) the original or a certified copy of a receipt evidencing payment thereof, if the relevant taxing authority provides a receipt, or (ii) if the relevant taxing authority does not provide a receipt, other reasonable evidence of the payment thereof.  Should the Payee ever receive any refund, credit or deduction from any taxing authority to which the Payee would not be entitled but for the payment by the Payor of Taxes as required by this Section 2.4 (it being understood that the decision as to whether or not to claim, and if claimed, as to the amount of any such refund, credit or deduction shall be made by the Payee in its sole discretion), the Payee thereupon shall repay to the Payor an amount with respect to such refund, credit or deduction equal to any net reduction in taxes actually obtained by the Payee and determined by it to be attributable to such refund, credit or deduction.</w:t>
      </w:r>
    </w:p>
    <w:p>
      <w:pPr>
        <w:pStyle w:val="BodyText"/>
        <w:widowControl/>
        <w:rPr/>
      </w:pPr>
      <w:r>
        <w:rPr/>
        <w:tab/>
        <w:tab/>
        <w:t>(g)</w:t>
        <w:tab/>
        <w:t>Without prejudice to the survival of any other agreement of the Payor hereunder, the agreements and obligations of the Payor contained in this Section 2.4 shall survive the payment in full of principal and interest hereunder.</w:t>
      </w:r>
    </w:p>
    <w:p>
      <w:pPr>
        <w:pStyle w:val="BodyText"/>
        <w:widowControl/>
        <w:rPr/>
      </w:pPr>
      <w:r>
        <w:rPr>
          <w:b/>
        </w:rPr>
        <w:tab/>
        <w:t xml:space="preserve">Section 2.5.  Payments on Business Days.  </w:t>
      </w:r>
      <w:r>
        <w:rPr/>
        <w:t>If the date for any payment hereunder falls on a day that is not a Business Day, then for all purposes of this Note the same shall be deemed to have fallen on the next following Business Day, and such extension of time shall in such case be included in the computation of payments of interest.</w:t>
      </w:r>
    </w:p>
    <w:p>
      <w:pPr>
        <w:pStyle w:val="BodyText"/>
        <w:widowControl/>
        <w:rPr/>
      </w:pPr>
      <w:r>
        <w:rPr>
          <w:b/>
        </w:rPr>
        <w:tab/>
        <w:t xml:space="preserve">Section 2.6.  Prepayments.  </w:t>
      </w:r>
      <w:r>
        <w:rPr/>
        <w:t xml:space="preserve">The Payor shall have the right to prepay all or any portion (in an amount not less than $1,000,000 or any integral multiple of $100,000 in excess thereof) of the principal amount owing under this Note at any time or from time to time, </w:t>
      </w:r>
      <w:r>
        <w:rPr>
          <w:u w:val="single"/>
        </w:rPr>
        <w:t>provided</w:t>
      </w:r>
      <w:r>
        <w:rPr/>
        <w:t xml:space="preserve"> that the Payor shall give the Payee three Business Days' notice of each such prepayment (and, upon the prepayment date specified in any such notice, the amount to be prepaid shall become due and payable under this Note).</w:t>
      </w:r>
    </w:p>
    <w:p>
      <w:pPr>
        <w:pStyle w:val="BodyText"/>
        <w:keepNext w:val="true"/>
        <w:keepLines/>
        <w:widowControl/>
        <w:jc w:val="center"/>
        <w:rPr>
          <w:b/>
        </w:rPr>
      </w:pPr>
      <w:r>
        <w:rPr>
          <w:b/>
        </w:rPr>
        <w:t>SECTION 3</w:t>
      </w:r>
    </w:p>
    <w:p>
      <w:pPr>
        <w:pStyle w:val="BodyText"/>
        <w:keepNext w:val="true"/>
        <w:keepLines/>
        <w:widowControl/>
        <w:jc w:val="center"/>
        <w:rPr>
          <w:b/>
        </w:rPr>
      </w:pPr>
      <w:r>
        <w:rPr>
          <w:b/>
        </w:rPr>
        <w:t>DEFAULT; REMEDIES; NETTING; SET-OFF</w:t>
      </w:r>
    </w:p>
    <w:p>
      <w:pPr>
        <w:pStyle w:val="BodyText"/>
        <w:widowControl/>
        <w:rPr/>
      </w:pPr>
      <w:r>
        <w:rPr/>
        <w:tab/>
      </w:r>
      <w:r>
        <w:rPr>
          <w:b/>
        </w:rPr>
        <w:t>Section 3.1.  Default; Remedies; Expenses.</w:t>
      </w:r>
      <w:r>
        <w:rPr/>
        <w:t xml:space="preserve">  Upon the occurrence of an Event of Default, the principal and interest payable by the Payor hereunder shall automatically become immediately due and payable without presentment, demand, protest or other formalities of any kind, all of which are hereby expressly waived by the Payor.  The Payor agrees to pay or reimburse the Payee for paying:  (a) all costs and expenses of the Payee (including reasonable counsels' fees) in connection with any default and any enforcement or collection proceedings resulting therefrom (including enforcement of this paragraph); and (b) all transfer, stamp, documentary or other similar taxes, assessments or charges levied by any governmental or revenue authority in respect of this Note or any other document referred to herein.</w:t>
      </w:r>
    </w:p>
    <w:p>
      <w:pPr>
        <w:pStyle w:val="BodyText"/>
        <w:widowControl/>
        <w:rPr/>
      </w:pPr>
      <w:r>
        <w:rPr>
          <w:b/>
        </w:rPr>
        <w:tab/>
        <w:t xml:space="preserve">Section 3.2.  Netting; Right of Set-Off.  </w:t>
      </w:r>
      <w:r>
        <w:rPr/>
        <w:t xml:space="preserve">The Payor and the Payee agree that, in addition to (and without limitation of) any right of set-off the Payee may otherwise have, upon the occurrence of an Event of Default or upon the stated maturity of this Note, amounts owing by the Payee to the Payor or its affiliates may be netted with and/or set-off against amounts payable by the Payor to the Payee under this Note to the extent provided by Part 5(m)(ii) of the </w:t>
      </w:r>
      <w:r>
        <w:rPr>
          <w:strike/>
        </w:rPr>
        <w:t>Grizzly</w:t>
      </w:r>
      <w:r>
        <w:rPr/>
        <w:t xml:space="preserve"> </w:t>
      </w:r>
      <w:r>
        <w:rPr>
          <w:b/>
          <w:u w:val="double"/>
        </w:rPr>
        <w:t>Roadrunner</w:t>
      </w:r>
      <w:r>
        <w:rPr/>
        <w:t xml:space="preserve"> Schedule and Part 5(m)(iii) of the </w:t>
      </w:r>
      <w:r>
        <w:rPr>
          <w:strike/>
        </w:rPr>
        <w:t>Grizzly</w:t>
      </w:r>
      <w:r>
        <w:rPr/>
        <w:t xml:space="preserve"> </w:t>
      </w:r>
      <w:r>
        <w:rPr>
          <w:b/>
          <w:u w:val="double"/>
        </w:rPr>
        <w:t>Roadrunner</w:t>
      </w:r>
      <w:r>
        <w:rPr/>
        <w:t xml:space="preserve"> Schedule.  The Payee understands and agrees that the obligations of Payor hereunder shall be deemed satisfied and discharged to the extent of any such netting and/or setoff.</w:t>
      </w:r>
    </w:p>
    <w:p>
      <w:pPr>
        <w:pStyle w:val="BodyText"/>
        <w:keepNext w:val="true"/>
        <w:keepLines/>
        <w:widowControl/>
        <w:jc w:val="center"/>
        <w:rPr>
          <w:b/>
        </w:rPr>
      </w:pPr>
      <w:r>
        <w:rPr>
          <w:b/>
        </w:rPr>
        <w:t>SECTION 4</w:t>
      </w:r>
    </w:p>
    <w:p>
      <w:pPr>
        <w:pStyle w:val="BodyText"/>
        <w:keepNext w:val="true"/>
        <w:keepLines/>
        <w:widowControl/>
        <w:jc w:val="center"/>
        <w:rPr>
          <w:b/>
        </w:rPr>
      </w:pPr>
      <w:r>
        <w:rPr>
          <w:b/>
        </w:rPr>
        <w:t>MISCELLANEOUS</w:t>
      </w:r>
    </w:p>
    <w:p>
      <w:pPr>
        <w:pStyle w:val="BodyText"/>
        <w:widowControl/>
        <w:rPr/>
      </w:pPr>
      <w:r>
        <w:rPr/>
        <w:tab/>
      </w:r>
      <w:r>
        <w:rPr>
          <w:b/>
        </w:rPr>
        <w:t>Section 4.1.  Waiver; Remedies.</w:t>
      </w:r>
      <w:r>
        <w:rPr/>
        <w:t xml:space="preserve">  No failure or delay by the Payee in exercising any right, power or privilege in respect of this Note will be presumed to operate as a waiver, and no single or partial exercise by the Payee of any right, power or privilege will be presumed to preclude any subsequent or further exercise by the Payee, of that right, power or privilege or the exercise of any other right, power or privilege.  The rights, powers, remedies and privileges of the Payee provided in this Note are cumulative and not exclusive of any rights, powers, remedies and privileges provided by law.</w:t>
      </w:r>
    </w:p>
    <w:p>
      <w:pPr>
        <w:pStyle w:val="BodyText"/>
        <w:widowControl/>
        <w:rPr/>
      </w:pPr>
      <w:r>
        <w:rPr/>
        <w:tab/>
      </w:r>
      <w:r>
        <w:rPr>
          <w:b/>
        </w:rPr>
        <w:t>Section 4.2.  Notices.</w:t>
      </w:r>
      <w:r>
        <w:rPr/>
        <w:t xml:space="preserve">  All notices and other communications in respect of this Note (including any modifications of, or requests, waivers or consents under, this Note) shall be given or made in accordance with the </w:t>
      </w:r>
      <w:r>
        <w:rPr>
          <w:strike/>
        </w:rPr>
        <w:t>Grizzly</w:t>
      </w:r>
      <w:r>
        <w:rPr/>
        <w:t xml:space="preserve"> </w:t>
      </w:r>
      <w:r>
        <w:rPr>
          <w:b/>
          <w:u w:val="double"/>
        </w:rPr>
        <w:t>Roadrunner</w:t>
      </w:r>
      <w:r>
        <w:rPr/>
        <w:t xml:space="preserve"> Swap Agreement.</w:t>
      </w:r>
    </w:p>
    <w:p>
      <w:pPr>
        <w:pStyle w:val="BodyText"/>
        <w:widowControl/>
        <w:rPr/>
      </w:pPr>
      <w:r>
        <w:rPr/>
        <w:tab/>
      </w:r>
      <w:r>
        <w:rPr>
          <w:b/>
        </w:rPr>
        <w:t>Section 4.3.  Amendments; Successors; Assignments.</w:t>
      </w:r>
      <w:r>
        <w:rPr/>
        <w:t xml:space="preserve">  No amendment, modification or waiver in respect of this Note will be effective unless in writing (including a writing evidenced by a facsimile transmission) and executed by each of the Payor and the Payee.  This Note shall be binding upon and inure to the benefit of the Payor and the Payee and their respective successors and permitted assigns.  The Payor shall not assign or delegate any of its rights or obligations under this Note without the prior written consent of the Payee.  The Payee shall not assign all or any portion of its rights under this Note without the prior written consent of the Payor.  In the event of any such assignment by the Payee with the consent of the Payor, each reference herein to the Payee shall (solely in respect of the interest so assigned) constitute a reference to such assignee (as if such assignee were named herein) rather than the Payee.  The Payee shall be entitled to have this Note subdivided, by exchange of this Note for Notes of lesser denominations or otherwise, to the extent necessary to reflect any such assignment.</w:t>
      </w:r>
    </w:p>
    <w:p>
      <w:pPr>
        <w:pStyle w:val="BodyText"/>
        <w:widowControl/>
        <w:rPr/>
      </w:pPr>
      <w:r>
        <w:rPr/>
        <w:tab/>
      </w:r>
      <w:r>
        <w:rPr>
          <w:b/>
        </w:rPr>
        <w:t>Section 4.4.  Invalidity.</w:t>
      </w:r>
      <w:r>
        <w:rPr/>
        <w:t xml:space="preserve">  In the event that any one or more provisions contained in this Note shall, for any reason, be held invalid, illegal or unenforceable in any respect, such invalidity, illegality, or uneforceability shall not affect any other provision of this Note.</w:t>
      </w:r>
    </w:p>
    <w:p>
      <w:pPr>
        <w:pStyle w:val="BodyText"/>
        <w:widowControl/>
        <w:rPr/>
      </w:pPr>
      <w:r>
        <w:rPr/>
        <w:tab/>
      </w:r>
      <w:r>
        <w:rPr>
          <w:b/>
        </w:rPr>
        <w:t>Section 4.5.  Governing Law.</w:t>
      </w:r>
      <w:r>
        <w:rPr/>
        <w:t xml:space="preserve">  This Note shall be governed by and interpreted in accordance with the law of the State of New York and all rights and remedies shall be governed by such law.</w:t>
      </w:r>
    </w:p>
    <w:p>
      <w:pPr>
        <w:pStyle w:val="BodyText"/>
        <w:widowControl/>
        <w:rPr/>
      </w:pPr>
      <w:r>
        <w:rPr>
          <w:b/>
        </w:rPr>
        <w:tab/>
        <w:t>Section 4.6.   Agreement to Arbitrate.</w:t>
      </w:r>
      <w:r>
        <w:rPr/>
        <w:t xml:space="preserve">  Any claim, counterclaim, demand, cause of action, dispute, and controversy arising out of or relating to this Note, any provision hereof, or the alleged breach hereof, or in any way relating to the subject matter of this Note, involving the Payor, the Payee and/or their respective representatives (collectively, the "</w:t>
      </w:r>
      <w:r>
        <w:rPr>
          <w:u w:val="single"/>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Sections 4.7 and 4.8.</w:t>
      </w:r>
    </w:p>
    <w:p>
      <w:pPr>
        <w:pStyle w:val="BodyText"/>
        <w:widowControl/>
        <w:rPr/>
      </w:pPr>
      <w:r>
        <w:rPr>
          <w:b/>
        </w:rPr>
        <w:tab/>
        <w:t>Section 4.7.</w:t>
      </w:r>
      <w:r>
        <w:rPr/>
        <w:t xml:space="preserve">  </w:t>
      </w:r>
      <w:r>
        <w:rPr>
          <w:b/>
        </w:rPr>
        <w:t>Conduct of other Arbitration, and Authority of the Arbitrator.</w:t>
      </w:r>
      <w:r>
        <w:rPr/>
        <w:t xml:space="preserve">  Any arbitration under this Note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Payor's and Payee's Claims, the arbitrators shall refer to the law of the State of New York.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Payor and Payee hereby waiving their right, if any, to recover any such damages.</w:t>
      </w:r>
    </w:p>
    <w:p>
      <w:pPr>
        <w:pStyle w:val="BodyText"/>
        <w:widowControl/>
        <w:rPr/>
      </w:pPr>
      <w:r>
        <w:rPr>
          <w:b/>
        </w:rPr>
        <w:tab/>
        <w:t>Section 4.8.  Forum for the Arbitration And Selection of Arbitrators.</w:t>
      </w:r>
      <w:r>
        <w:rPr/>
        <w:t xml:space="preserve">  The arbitration proceeding shall be conducted in Houston, Texas.  Within thirty days of the notice of initiation of the arbitration procedure, the Payor and the Payee shall each select one arbitrator.  The two arbitrators shall select a third arbitrator.  The third arbitrator shall be a person who has over eight years professional experience in over-the-counter derivative products and who has not previously been employed by the Payor or the Payee and does not have a direct or indirect interest in the Payor or the Payee or the subject matter of the arbitration.  While the third arbitrator shall be neutral, the two Payor and Payee-appointed arbitrators are not required to be neutral, and it shall not be grounds for removal of either of the two Payor and Payee-appointed arbitrators or for vacating the arbitrators’ award that either of such arbitrators has past or present minimal relationships with the entity that appointed such arbitrator.</w:t>
      </w:r>
    </w:p>
    <w:p>
      <w:pPr>
        <w:pStyle w:val="BodyText"/>
        <w:widowControl/>
        <w:rPr/>
      </w:pPr>
      <w:r>
        <w:rPr/>
        <w:tab/>
      </w:r>
      <w:r>
        <w:rPr>
          <w:b/>
        </w:rPr>
        <w:t>Section 4.9.  Confidentiality.</w:t>
      </w:r>
      <w:r>
        <w:rPr/>
        <w:t xml:space="preserve">  To the fullest extent permitted by applicable law, any arbitration proceeding and the arbitrators' award shall be maintained in confidence by the Payor and the Payee.</w:t>
      </w:r>
    </w:p>
    <w:p>
      <w:pPr>
        <w:pStyle w:val="BodyText"/>
        <w:widowControl/>
        <w:rPr/>
      </w:pPr>
      <w:r>
        <w:rPr/>
        <w:tab/>
      </w:r>
      <w:r>
        <w:rPr>
          <w:b/>
        </w:rPr>
        <w:t>Section 4.10.  Captions.</w:t>
      </w:r>
      <w:r>
        <w:rPr/>
        <w:t xml:space="preserve">  Captions and headings appearing herein are included solely for convenience of reference and are not intended to affect the interpretation of any provision of this Note.</w:t>
      </w:r>
    </w:p>
    <w:p>
      <w:pPr>
        <w:pStyle w:val="BodyText"/>
        <w:widowControl/>
        <w:rPr/>
      </w:pPr>
      <w:r>
        <w:rPr/>
      </w:r>
      <w:r>
        <w:br w:type="page"/>
      </w:r>
    </w:p>
    <w:p>
      <w:pPr>
        <w:pStyle w:val="Normal"/>
        <w:keepNext w:val="true"/>
        <w:keepLines/>
        <w:widowControl/>
        <w:tabs>
          <w:tab w:val="clear" w:pos="720"/>
          <w:tab w:val="left" w:pos="-1440" w:leader="none"/>
          <w:tab w:val="left" w:pos="-720" w:leader="none"/>
        </w:tabs>
        <w:suppressAutoHyphens w:val="true"/>
        <w:rPr>
          <w:sz w:val="22"/>
        </w:rPr>
      </w:pPr>
      <w:r>
        <w:rPr>
          <w:sz w:val="22"/>
        </w:rPr>
        <w:t>Executed as of the date first written above.</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pPr>
      <w:r>
        <w:rPr>
          <w:strike/>
          <w:sz w:val="22"/>
        </w:rPr>
        <w:t>GRIZZLY</w:t>
      </w:r>
      <w:r>
        <w:rPr>
          <w:sz w:val="22"/>
        </w:rPr>
        <w:t xml:space="preserve"> </w:t>
      </w:r>
      <w:r>
        <w:rPr>
          <w:b/>
          <w:sz w:val="22"/>
          <w:u w:val="double"/>
        </w:rPr>
        <w:t>ROADRUNNER</w:t>
      </w:r>
      <w:r>
        <w:rPr>
          <w:sz w:val="22"/>
        </w:rPr>
        <w:t xml:space="preserve"> I</w:t>
      </w:r>
      <w:r>
        <w:rPr>
          <w:strike/>
          <w:sz w:val="22"/>
        </w:rPr>
        <w:t>,</w:t>
      </w:r>
      <w:r>
        <w:rPr>
          <w:sz w:val="22"/>
        </w:rPr>
        <w:t xml:space="preserve"> LLC</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By:  Enron Corp., its sole member</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By____________________________</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 xml:space="preserve">  </w:t>
      </w:r>
      <w:r>
        <w:rPr>
          <w:sz w:val="22"/>
        </w:rPr>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keepNext w:val="true"/>
        <w:keepLines/>
        <w:widowControl/>
        <w:tabs>
          <w:tab w:val="clear" w:pos="720"/>
          <w:tab w:val="left" w:pos="-1440" w:leader="none"/>
          <w:tab w:val="left" w:pos="-720" w:leader="none"/>
        </w:tabs>
        <w:suppressAutoHyphens w:val="true"/>
        <w:ind w:start="4320" w:end="0"/>
        <w:rPr>
          <w:sz w:val="22"/>
        </w:rPr>
      </w:pPr>
      <w:r>
        <w:rPr>
          <w:sz w:val="22"/>
        </w:rPr>
        <w:t xml:space="preserve">  </w:t>
      </w:r>
      <w:r>
        <w:rPr>
          <w:sz w:val="22"/>
        </w:rPr>
        <w:t>Title:</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SCHEDULE 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ADJUSTMENTS TO AND PAYMENTS OF PRINCIPAL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tbl>
      <w:tblPr>
        <w:tblW w:w="9270" w:type="dxa"/>
        <w:jc w:val="start"/>
        <w:tblInd w:w="-240" w:type="dxa"/>
        <w:tblLayout w:type="fixed"/>
        <w:tblCellMar>
          <w:top w:w="0" w:type="dxa"/>
          <w:start w:w="120" w:type="dxa"/>
          <w:bottom w:w="0" w:type="dxa"/>
          <w:end w:w="120" w:type="dxa"/>
        </w:tblCellMar>
      </w:tblPr>
      <w:tblGrid>
        <w:gridCol w:w="2160"/>
        <w:gridCol w:w="1620"/>
        <w:gridCol w:w="1800"/>
        <w:gridCol w:w="1980"/>
        <w:gridCol w:w="1710"/>
      </w:tblGrid>
      <w:tr>
        <w:trPr/>
        <w:tc>
          <w:tcPr>
            <w:tcW w:w="2160" w:type="dxa"/>
            <w:tcBorders>
              <w:top w:val="single" w:sz="14"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clear" w:pos="720"/>
                <w:tab w:val="center" w:pos="9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tab/>
              <w:t>Date</w:t>
            </w:r>
          </w:p>
        </w:tc>
        <w:tc>
          <w:tcPr>
            <w:tcW w:w="1620" w:type="dxa"/>
            <w:tcBorders>
              <w:top w:val="single" w:sz="14" w:space="0" w:color="000000"/>
              <w:start w:val="single" w:sz="6" w:space="0" w:color="000000"/>
              <w:bottom w:val="single" w:sz="6" w:space="0" w:color="000000"/>
              <w:end w:val="single" w:sz="6" w:space="0" w:color="000000"/>
            </w:tcBorders>
          </w:tcPr>
          <w:p>
            <w:pPr>
              <w:pStyle w:val="Normal"/>
              <w:widowControl/>
              <w:snapToGrid w:val="false"/>
              <w:spacing w:lineRule="exact" w:line="120"/>
              <w:jc w:val="center"/>
              <w:rPr>
                <w:sz w:val="22"/>
              </w:rPr>
            </w:pPr>
            <w:r>
              <w:rPr>
                <w:sz w:val="22"/>
              </w:rPr>
            </w:r>
          </w:p>
          <w:p>
            <w:pPr>
              <w:pStyle w:val="Normal"/>
              <w:widowControl/>
              <w:tabs>
                <w:tab w:val="center" w:pos="6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Amount of</w:t>
            </w:r>
          </w:p>
          <w:p>
            <w:pPr>
              <w:pStyle w:val="Normal"/>
              <w:widowControl/>
              <w:tabs>
                <w:tab w:val="center" w:pos="6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Loan</w:t>
            </w:r>
          </w:p>
        </w:tc>
        <w:tc>
          <w:tcPr>
            <w:tcW w:w="1800" w:type="dxa"/>
            <w:tcBorders>
              <w:top w:val="single" w:sz="14" w:space="0" w:color="000000"/>
              <w:start w:val="single" w:sz="6" w:space="0" w:color="000000"/>
              <w:bottom w:val="single" w:sz="6" w:space="0" w:color="000000"/>
              <w:end w:val="single" w:sz="6" w:space="0" w:color="000000"/>
            </w:tcBorders>
          </w:tcPr>
          <w:p>
            <w:pPr>
              <w:pStyle w:val="Normal"/>
              <w:widowControl/>
              <w:snapToGrid w:val="false"/>
              <w:spacing w:lineRule="exact" w:line="120"/>
              <w:jc w:val="center"/>
              <w:rPr>
                <w:sz w:val="22"/>
              </w:rPr>
            </w:pPr>
            <w:r>
              <w:rPr>
                <w:sz w:val="22"/>
              </w:rPr>
            </w:r>
          </w:p>
          <w:p>
            <w:pPr>
              <w:pStyle w:val="Normal"/>
              <w:widowControl/>
              <w:tabs>
                <w:tab w:val="clear" w:pos="720"/>
                <w:tab w:val="center" w:pos="8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Amount of</w:t>
            </w:r>
          </w:p>
          <w:p>
            <w:pPr>
              <w:pStyle w:val="Normal"/>
              <w:widowControl/>
              <w:tabs>
                <w:tab w:val="clear" w:pos="720"/>
                <w:tab w:val="center" w:pos="8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strike/>
                <w:sz w:val="22"/>
              </w:rPr>
              <w:t>Grizzly</w:t>
            </w:r>
            <w:r>
              <w:rPr>
                <w:sz w:val="22"/>
              </w:rPr>
              <w:t xml:space="preserve"> </w:t>
            </w:r>
            <w:r>
              <w:rPr>
                <w:b/>
                <w:sz w:val="22"/>
                <w:u w:val="double"/>
              </w:rPr>
              <w:t>Roadrunner</w:t>
            </w:r>
            <w:r>
              <w:rPr>
                <w:sz w:val="22"/>
              </w:rPr>
              <w:t xml:space="preserve"> Principal Decrease Adjustment or other Principal Payment or Prepayment</w:t>
            </w:r>
          </w:p>
        </w:tc>
        <w:tc>
          <w:tcPr>
            <w:tcW w:w="1980" w:type="dxa"/>
            <w:tcBorders>
              <w:top w:val="single" w:sz="14" w:space="0" w:color="000000"/>
              <w:start w:val="single" w:sz="6" w:space="0" w:color="000000"/>
              <w:bottom w:val="single" w:sz="6" w:space="0" w:color="000000"/>
              <w:end w:val="single" w:sz="6" w:space="0" w:color="000000"/>
            </w:tcBorders>
          </w:tcPr>
          <w:p>
            <w:pPr>
              <w:pStyle w:val="Normal"/>
              <w:widowControl/>
              <w:snapToGrid w:val="false"/>
              <w:spacing w:lineRule="exact" w:line="120"/>
              <w:jc w:val="center"/>
              <w:rPr>
                <w:sz w:val="22"/>
              </w:rPr>
            </w:pPr>
            <w:r>
              <w:rPr>
                <w:sz w:val="22"/>
              </w:rPr>
            </w:r>
          </w:p>
          <w:p>
            <w:pPr>
              <w:pStyle w:val="Normal"/>
              <w:widowControl/>
              <w:tabs>
                <w:tab w:val="clear" w:pos="720"/>
                <w:tab w:val="center" w:pos="8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Unpaid</w:t>
            </w:r>
          </w:p>
          <w:p>
            <w:pPr>
              <w:pStyle w:val="Normal"/>
              <w:widowControl/>
              <w:tabs>
                <w:tab w:val="clear" w:pos="720"/>
                <w:tab w:val="center" w:pos="8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Principal</w:t>
            </w:r>
          </w:p>
          <w:p>
            <w:pPr>
              <w:pStyle w:val="Normal"/>
              <w:widowControl/>
              <w:tabs>
                <w:tab w:val="clear" w:pos="720"/>
                <w:tab w:val="center" w:pos="8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Balance</w:t>
            </w:r>
          </w:p>
        </w:tc>
        <w:tc>
          <w:tcPr>
            <w:tcW w:w="1710" w:type="dxa"/>
            <w:tcBorders>
              <w:top w:val="single" w:sz="14" w:space="0" w:color="000000"/>
              <w:start w:val="single" w:sz="6" w:space="0" w:color="000000"/>
              <w:bottom w:val="single" w:sz="6" w:space="0" w:color="000000"/>
              <w:end w:val="single" w:sz="14" w:space="0" w:color="000000"/>
            </w:tcBorders>
          </w:tcPr>
          <w:p>
            <w:pPr>
              <w:pStyle w:val="Normal"/>
              <w:widowControl/>
              <w:snapToGrid w:val="false"/>
              <w:spacing w:lineRule="exact" w:line="120"/>
              <w:jc w:val="center"/>
              <w:rPr>
                <w:sz w:val="22"/>
              </w:rPr>
            </w:pPr>
            <w:r>
              <w:rPr>
                <w:sz w:val="22"/>
              </w:rPr>
            </w:r>
          </w:p>
          <w:p>
            <w:pPr>
              <w:pStyle w:val="Normal"/>
              <w:widowControl/>
              <w:tabs>
                <w:tab w:val="clear" w:pos="720"/>
                <w:tab w:val="center" w:pos="735"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t>Notation Made</w:t>
            </w:r>
          </w:p>
          <w:p>
            <w:pPr>
              <w:pStyle w:val="Normal"/>
              <w:widowControl/>
              <w:tabs>
                <w:tab w:val="clear" w:pos="720"/>
                <w:tab w:val="center" w:pos="735"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By</w:t>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strike/>
                <w:sz w:val="22"/>
              </w:rPr>
              <w:t>June 29</w:t>
            </w:r>
            <w:r>
              <w:rPr>
                <w:sz w:val="22"/>
              </w:rPr>
              <w:t xml:space="preserve"> </w:t>
            </w:r>
            <w:r>
              <w:rPr>
                <w:b/>
                <w:sz w:val="22"/>
                <w:u w:val="double"/>
              </w:rPr>
              <w:t>September [__]</w:t>
            </w:r>
            <w:r>
              <w:rPr>
                <w:sz w:val="22"/>
              </w:rPr>
              <w:t>, 2000</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t>$50,000,000</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t>$50,000,000</w:t>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6"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r>
        <w:trPr/>
        <w:tc>
          <w:tcPr>
            <w:tcW w:w="2160" w:type="dxa"/>
            <w:tcBorders>
              <w:top w:val="single" w:sz="6" w:space="0" w:color="000000"/>
              <w:start w:val="single" w:sz="14" w:space="0" w:color="000000"/>
              <w:bottom w:val="single" w:sz="14"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620" w:type="dxa"/>
            <w:tcBorders>
              <w:top w:val="single" w:sz="6" w:space="0" w:color="000000"/>
              <w:start w:val="single" w:sz="6" w:space="0" w:color="000000"/>
              <w:bottom w:val="single" w:sz="14"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800" w:type="dxa"/>
            <w:tcBorders>
              <w:top w:val="single" w:sz="6" w:space="0" w:color="000000"/>
              <w:start w:val="single" w:sz="6" w:space="0" w:color="000000"/>
              <w:bottom w:val="single" w:sz="14"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980" w:type="dxa"/>
            <w:tcBorders>
              <w:top w:val="single" w:sz="6" w:space="0" w:color="000000"/>
              <w:start w:val="single" w:sz="6" w:space="0" w:color="000000"/>
              <w:bottom w:val="single" w:sz="14" w:space="0" w:color="000000"/>
              <w:end w:val="single" w:sz="6"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c>
          <w:tcPr>
            <w:tcW w:w="1710" w:type="dxa"/>
            <w:tcBorders>
              <w:top w:val="single" w:sz="6" w:space="0" w:color="000000"/>
              <w:start w:val="single" w:sz="6" w:space="0" w:color="000000"/>
              <w:bottom w:val="single" w:sz="14" w:space="0" w:color="000000"/>
              <w:end w:val="single" w:sz="14" w:space="0" w:color="000000"/>
            </w:tcBorders>
          </w:tcPr>
          <w:p>
            <w:pPr>
              <w:pStyle w:val="Normal"/>
              <w:widowControl/>
              <w:snapToGrid w:val="false"/>
              <w:spacing w:lineRule="exact" w:line="12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rPr>
            </w:r>
          </w:p>
        </w:tc>
      </w:tr>
    </w:tbl>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 COMPARISON OF HEADERS ------------------</w:t>
      </w:r>
    </w:p>
    <w:p>
      <w:pPr>
        <w:pStyle w:val="Normal"/>
        <w:keepNext w:val="true"/>
        <w:keepLines/>
        <w:widowControl/>
        <w:tabs>
          <w:tab w:val="clear" w:pos="720"/>
          <w:tab w:val="left" w:pos="-1440" w:leader="none"/>
          <w:tab w:val="left" w:pos="-720" w:leader="none"/>
        </w:tabs>
        <w:suppressAutoHyphens w:val="true"/>
        <w:ind w:start="4320" w:end="0"/>
        <w:rPr>
          <w:b/>
          <w:sz w:val="22"/>
          <w:u w:val="double"/>
        </w:rPr>
      </w:pPr>
      <w:r>
        <w:rPr>
          <w:b/>
          <w:sz w:val="22"/>
          <w:u w:val="double"/>
        </w:rPr>
      </w:r>
    </w:p>
    <w:p>
      <w:pPr>
        <w:pStyle w:val="Normal"/>
        <w:keepNext w:val="true"/>
        <w:keepLines/>
        <w:widowControl/>
        <w:tabs>
          <w:tab w:val="clear" w:pos="720"/>
          <w:tab w:val="left" w:pos="-1440" w:leader="none"/>
          <w:tab w:val="left" w:pos="-720" w:leader="none"/>
        </w:tabs>
        <w:suppressAutoHyphens w:val="true"/>
        <w:ind w:start="4320" w:end="0"/>
        <w:rPr>
          <w:b/>
          <w:sz w:val="22"/>
          <w:u w:val="double"/>
        </w:rPr>
      </w:pPr>
      <w:r>
        <w:rPr>
          <w:b/>
          <w:sz w:val="22"/>
          <w:u w:val="double"/>
        </w:rPr>
        <w:t>-HEADER 1-</w:t>
      </w:r>
    </w:p>
    <w:p>
      <w:pPr>
        <w:pStyle w:val="Normal"/>
        <w:keepNext w:val="true"/>
        <w:keepLines/>
        <w:widowControl/>
        <w:tabs>
          <w:tab w:val="clear" w:pos="720"/>
          <w:tab w:val="left" w:pos="-1440" w:leader="none"/>
          <w:tab w:val="left" w:pos="-720" w:leader="none"/>
        </w:tabs>
        <w:suppressAutoHyphens w:val="true"/>
        <w:ind w:start="4320" w:end="0"/>
        <w:rPr>
          <w:b/>
          <w:sz w:val="22"/>
          <w:u w:val="double"/>
        </w:rPr>
      </w:pPr>
      <w:r>
        <w:rPr>
          <w:b/>
          <w:sz w:val="22"/>
          <w:u w:val="double"/>
        </w:rPr>
        <w:t>DRAFT 08/28/00</w:t>
      </w:r>
    </w:p>
    <w:p>
      <w:pPr>
        <w:pStyle w:val="Normal"/>
        <w:keepNext w:val="true"/>
        <w:keepLines/>
        <w:widowControl/>
        <w:tabs>
          <w:tab w:val="clear" w:pos="720"/>
          <w:tab w:val="left" w:pos="-1440" w:leader="none"/>
          <w:tab w:val="left" w:pos="-720" w:leader="none"/>
        </w:tabs>
        <w:suppressAutoHyphens w:val="true"/>
        <w:ind w:start="4320" w:end="0"/>
        <w:rPr>
          <w:b/>
          <w:sz w:val="22"/>
          <w:u w:val="double"/>
        </w:rPr>
      </w:pPr>
      <w:r>
        <w:rPr>
          <w:b/>
          <w:sz w:val="22"/>
          <w:u w:val="double"/>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pPr>
      <w:r>
        <w:rPr>
          <w:sz w:val="22"/>
        </w:rPr>
        <w:t xml:space="preserve">-HEADER </w:t>
      </w:r>
      <w:r>
        <w:rPr>
          <w:strike/>
          <w:sz w:val="22"/>
        </w:rPr>
        <w:t>1</w:t>
      </w:r>
      <w:r>
        <w:rPr>
          <w:sz w:val="22"/>
        </w:rPr>
        <w:t xml:space="preserve"> </w:t>
      </w:r>
      <w:r>
        <w:rPr>
          <w:b/>
          <w:sz w:val="22"/>
          <w:u w:val="double"/>
        </w:rPr>
        <w:t>2</w:t>
      </w:r>
      <w:r>
        <w:rPr>
          <w:sz w:val="22"/>
        </w:rPr>
        <w:t>-</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Header Discontinued</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 COMPARISON OF FOOTERS ------------------</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t>-FOOTER 1-</w:t>
      </w:r>
    </w:p>
    <w:p>
      <w:pPr>
        <w:pStyle w:val="Normal"/>
        <w:keepNext w:val="true"/>
        <w:keepLines/>
        <w:widowControl/>
        <w:tabs>
          <w:tab w:val="clear" w:pos="720"/>
          <w:tab w:val="left" w:pos="-1440" w:leader="none"/>
          <w:tab w:val="left" w:pos="-720" w:leader="none"/>
        </w:tabs>
        <w:suppressAutoHyphens w:val="true"/>
        <w:ind w:start="4320" w:end="0"/>
        <w:rPr>
          <w:sz w:val="22"/>
        </w:rPr>
      </w:pPr>
      <w:r>
        <w:rPr>
          <w:strike/>
          <w:sz w:val="22"/>
        </w:rPr>
        <w:t>7</w:t>
      </w:r>
      <w:r>
        <w:rPr>
          <w:sz w:val="22"/>
        </w:rPr>
        <w:t xml:space="preserve"> </w:t>
      </w:r>
      <w:r>
        <w:rPr>
          <w:b/>
          <w:sz w:val="22"/>
          <w:u w:val="double"/>
        </w:rPr>
        <w:t>6</w:t>
      </w:r>
    </w:p>
    <w:p>
      <w:pPr>
        <w:pStyle w:val="Normal"/>
        <w:keepNext w:val="true"/>
        <w:keepLines/>
        <w:widowControl/>
        <w:tabs>
          <w:tab w:val="clear" w:pos="720"/>
          <w:tab w:val="left" w:pos="-1440" w:leader="none"/>
          <w:tab w:val="left" w:pos="-720" w:leader="none"/>
        </w:tabs>
        <w:suppressAutoHyphens w:val="true"/>
        <w:ind w:start="4320" w:end="0"/>
        <w:rPr>
          <w:sz w:val="22"/>
        </w:rPr>
      </w:pPr>
      <w:r>
        <w:rPr>
          <w:sz w:val="22"/>
        </w:rPr>
      </w:r>
    </w:p>
    <w:p>
      <w:pPr>
        <w:pStyle w:val="Normal"/>
        <w:keepNext w:val="true"/>
        <w:keepLines/>
        <w:widowControl/>
        <w:tabs>
          <w:tab w:val="clear" w:pos="720"/>
          <w:tab w:val="left" w:pos="-1440" w:leader="none"/>
          <w:tab w:val="left" w:pos="-720" w:leader="none"/>
        </w:tabs>
        <w:suppressAutoHyphens w:val="true"/>
        <w:ind w:start="4320" w:end="0"/>
        <w:rPr/>
      </w:pPr>
      <w:r>
        <w:rPr>
          <w:sz w:val="22"/>
        </w:rPr>
        <w:t xml:space="preserve">Houston: </w:t>
      </w:r>
      <w:r>
        <w:rPr>
          <w:strike/>
          <w:sz w:val="22"/>
        </w:rPr>
        <w:t>233759</w:t>
      </w:r>
      <w:r>
        <w:rPr>
          <w:sz w:val="22"/>
        </w:rPr>
        <w:t xml:space="preserve"> </w:t>
      </w:r>
      <w:r>
        <w:rPr>
          <w:b/>
          <w:sz w:val="22"/>
          <w:u w:val="double"/>
        </w:rPr>
        <w:t>307911 v 2</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embo">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p>
  <w:p>
    <w:pPr>
      <w:pStyle w:val="Footer"/>
      <w:widowControl/>
      <w:rPr>
        <w:sz w:val="16"/>
      </w:rPr>
    </w:pPr>
    <w:r>
      <w:rPr>
        <w:sz w:val="16"/>
      </w:rPr>
    </w:r>
  </w:p>
  <w:p>
    <w:pPr>
      <w:pStyle w:val="Footer"/>
      <w:widowControl/>
      <w:rPr>
        <w:sz w:val="16"/>
      </w:rPr>
    </w:pPr>
    <w:r>
      <w:rPr>
        <w:sz w:val="16"/>
      </w:rPr>
      <w:t>Houston:307911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p>
    <w:pPr>
      <w:pStyle w:val="Footer"/>
      <w:widowControl/>
      <w:rPr>
        <w:sz w:val="16"/>
      </w:rPr>
    </w:pPr>
    <w:r>
      <w:rPr>
        <w:sz w:val="16"/>
      </w:rPr>
    </w:r>
  </w:p>
  <w:p>
    <w:pPr>
      <w:pStyle w:val="Footer"/>
      <w:widowControl/>
      <w:rPr>
        <w:sz w:val="16"/>
      </w:rPr>
    </w:pPr>
    <w:r>
      <w:rPr>
        <w:sz w:val="16"/>
      </w:rPr>
      <w:t>Houston:307911 v 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08/28/00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5">
    <w:name w:val="heading 5"/>
    <w:basedOn w:val="BodyText"/>
    <w:next w:val="BodyText"/>
    <w:qFormat/>
    <w:pPr>
      <w:keepNext w:val="true"/>
      <w:numPr>
        <w:ilvl w:val="4"/>
        <w:numId w:val="1"/>
      </w:numPr>
      <w:jc w:val="center"/>
      <w:outlineLvl w:val="4"/>
    </w:pPr>
    <w:rPr>
      <w:b/>
      <w:cap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basedOn w:val="DefaultParagraphFont"/>
    <w:qFormat/>
    <w:rPr>
      <w:b/>
      <w:sz w:val="20"/>
      <w:vertAlign w:val="superscript"/>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a">
    <w:name w:val="(a)"/>
    <w:basedOn w:val="BodyText"/>
    <w:qFormat/>
    <w:pPr>
      <w:ind w:hanging="720" w:start="720" w:end="0"/>
    </w:pPr>
    <w:rPr/>
  </w:style>
  <w:style w:type="paragraph" w:styleId="EndnoteText">
    <w:name w:val="endnote text"/>
    <w:basedOn w:val="Normal"/>
    <w:pPr>
      <w:tabs>
        <w:tab w:val="left" w:pos="720" w:leader="none"/>
      </w:tabs>
      <w:spacing w:before="0" w:after="240"/>
      <w:ind w:hanging="720" w:start="720" w:end="0"/>
    </w:pPr>
    <w:rPr>
      <w:rFonts w:ascii="Bembo" w:hAnsi="Bembo" w:cs="Bembo"/>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2000-08-28T15:38:00Z</dcterms:created>
  <dc:creator>VE</dc:creator>
  <dc:description/>
  <dc:language>en-CA</dc:language>
  <cp:lastModifiedBy>Vinson &amp; Elkins L.L.P.</cp:lastModifiedBy>
  <cp:lastPrinted>2000-08-28T12:08:00Z</cp:lastPrinted>
  <dcterms:modified xsi:type="dcterms:W3CDTF">2000-08-28T15:38:00Z</dcterms:modified>
  <cp:revision>2</cp:revision>
  <dc:subject/>
  <dc:title>ENE Note</dc:title>
</cp:coreProperties>
</file>