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spacing w:before="0" w:after="0"/>
        <w:jc w:val="center"/>
        <w:rPr>
          <w:b/>
          <w:bCs/>
        </w:rPr>
      </w:pPr>
      <w:r>
        <w:rPr>
          <w:b/>
          <w:bCs/>
        </w:rPr>
        <w:t>DRAFT—FOR DISCUSSION PURPOSES ONLY</w:t>
      </w:r>
    </w:p>
    <w:p>
      <w:pPr>
        <w:pStyle w:val="VEBodyText"/>
        <w:spacing w:before="0" w:after="0"/>
        <w:jc w:val="center"/>
        <w:rPr>
          <w:b/>
          <w:bCs/>
        </w:rPr>
      </w:pPr>
      <w:r>
        <w:rPr>
          <w:b/>
          <w:bCs/>
        </w:rPr>
      </w:r>
    </w:p>
    <w:p>
      <w:pPr>
        <w:pStyle w:val="VEBodyText"/>
        <w:spacing w:before="0" w:after="0"/>
        <w:jc w:val="center"/>
        <w:rPr/>
      </w:pPr>
      <w:r>
        <w:rPr/>
      </w:r>
    </w:p>
    <w:p>
      <w:pPr>
        <w:pStyle w:val="VEBodyText"/>
        <w:spacing w:before="0" w:after="0"/>
        <w:jc w:val="center"/>
        <w:rPr/>
      </w:pPr>
      <w:r>
        <w:rPr/>
        <w:t>October __, 2001</w:t>
      </w:r>
    </w:p>
    <w:p>
      <w:pPr>
        <w:pStyle w:val="VEBodyText"/>
        <w:spacing w:before="0" w:after="0"/>
        <w:rPr/>
      </w:pPr>
      <w:r>
        <w:rPr/>
      </w:r>
    </w:p>
    <w:p>
      <w:pPr>
        <w:pStyle w:val="VEBodyText"/>
        <w:spacing w:before="0" w:after="0"/>
        <w:rPr/>
      </w:pPr>
      <w:r>
        <w:rPr/>
      </w:r>
    </w:p>
    <w:p>
      <w:pPr>
        <w:pStyle w:val="VEBodyText"/>
        <w:spacing w:before="0" w:after="0"/>
        <w:rPr/>
      </w:pPr>
      <w:r>
        <w:rPr/>
        <w:t>Dwayne Hart</w:t>
      </w:r>
    </w:p>
    <w:p>
      <w:pPr>
        <w:pStyle w:val="VEBodyText"/>
        <w:spacing w:before="0" w:after="0"/>
        <w:rPr/>
      </w:pPr>
      <w:r>
        <w:rPr/>
        <w:t>AEP/Houston Pipe Line Company</w:t>
      </w:r>
    </w:p>
    <w:p>
      <w:pPr>
        <w:pStyle w:val="VEBodyText"/>
        <w:spacing w:before="0" w:after="0"/>
        <w:rPr/>
      </w:pPr>
      <w:r>
        <w:rPr/>
        <w:t>1201 Louisiana, Suite 1200</w:t>
      </w:r>
    </w:p>
    <w:p>
      <w:pPr>
        <w:pStyle w:val="VEBodyText"/>
        <w:spacing w:before="0" w:after="0"/>
        <w:rPr/>
      </w:pPr>
      <w:r>
        <w:rPr/>
        <w:t>Houston, Texas  77002-5500</w:t>
      </w:r>
    </w:p>
    <w:p>
      <w:pPr>
        <w:pStyle w:val="VEBodyText"/>
        <w:spacing w:before="0" w:after="0"/>
        <w:rPr/>
      </w:pPr>
      <w:r>
        <w:rPr/>
      </w:r>
    </w:p>
    <w:p>
      <w:pPr>
        <w:pStyle w:val="VEBodyText"/>
        <w:spacing w:before="0" w:after="0"/>
        <w:rPr/>
      </w:pPr>
      <w:r>
        <w:rPr/>
        <w:tab/>
        <w:tab/>
        <w:t>Re:</w:t>
        <w:tab/>
        <w:t>Post-Closing Issues – HPL Contracts</w:t>
      </w:r>
    </w:p>
    <w:p>
      <w:pPr>
        <w:pStyle w:val="VEBodyText"/>
        <w:spacing w:before="0" w:after="0"/>
        <w:rPr/>
      </w:pPr>
      <w:r>
        <w:rPr/>
      </w:r>
    </w:p>
    <w:p>
      <w:pPr>
        <w:pStyle w:val="VEBodyText"/>
        <w:spacing w:before="0" w:after="0"/>
        <w:rPr/>
      </w:pPr>
      <w:r>
        <w:rPr/>
        <w:t>Dear Dwayne:</w:t>
      </w:r>
    </w:p>
    <w:p>
      <w:pPr>
        <w:pStyle w:val="Normal"/>
        <w:jc w:val="both"/>
        <w:rPr/>
      </w:pPr>
      <w:r>
        <w:rPr/>
      </w:r>
    </w:p>
    <w:p>
      <w:pPr>
        <w:pStyle w:val="Normal"/>
        <w:rPr/>
      </w:pPr>
      <w:r>
        <w:rPr/>
        <w:tab/>
        <w:t>This letter sets out the terms upon which we have agreed to resolve the following outstanding issues relating to certain Houston Pipe Line Company (“HPL”) contracts and certain other matters.  Neither party should construe anything in this letter as an admission of liability.</w:t>
      </w:r>
    </w:p>
    <w:p>
      <w:pPr>
        <w:pStyle w:val="Normal"/>
        <w:jc w:val="both"/>
        <w:rPr/>
      </w:pPr>
      <w:r>
        <w:rPr/>
      </w:r>
    </w:p>
    <w:p>
      <w:pPr>
        <w:pStyle w:val="Heading1"/>
        <w:ind w:hanging="0" w:start="0"/>
        <w:jc w:val="both"/>
        <w:rPr/>
      </w:pPr>
      <w:r>
        <w:rPr/>
        <w:t xml:space="preserve">I.  Prepayments/ Deposits </w:t>
      </w:r>
    </w:p>
    <w:p>
      <w:pPr>
        <w:pStyle w:val="Normal"/>
        <w:jc w:val="both"/>
        <w:rPr>
          <w:u w:val="single"/>
        </w:rPr>
      </w:pPr>
      <w:r>
        <w:rPr>
          <w:u w:val="single"/>
        </w:rPr>
      </w:r>
    </w:p>
    <w:p>
      <w:pPr>
        <w:pStyle w:val="Normal"/>
        <w:jc w:val="both"/>
        <w:rPr/>
      </w:pPr>
      <w:r>
        <w:rPr/>
        <w:t>Enron North America Corp. or one of its affiliates (collectively “Enron”) agrees to pay to HPL the amounts set forth on Schedule I hereto in respect of certain prepayments made by Cannon Interests Houston and The General Land Office of the State of Texas under storage contracts with HPL.  The amounts set forth on Schedule I represent the portion of such prepayments allocable to storage services to be rendered after the Closing Date.</w:t>
      </w:r>
    </w:p>
    <w:p>
      <w:pPr>
        <w:pStyle w:val="Normal"/>
        <w:jc w:val="both"/>
        <w:rPr/>
      </w:pPr>
      <w:r>
        <w:rPr/>
      </w:r>
    </w:p>
    <w:p>
      <w:pPr>
        <w:pStyle w:val="Normal"/>
        <w:jc w:val="both"/>
        <w:rPr/>
      </w:pPr>
      <w:r>
        <w:rPr/>
        <w:t>Enron also agrees to pay to HPL $25,000 in respect of customer deposits relating to gas lift sales.</w:t>
      </w:r>
    </w:p>
    <w:p>
      <w:pPr>
        <w:pStyle w:val="Normal"/>
        <w:jc w:val="both"/>
        <w:rPr/>
      </w:pPr>
      <w:r>
        <w:rPr/>
      </w:r>
    </w:p>
    <w:p>
      <w:pPr>
        <w:pStyle w:val="Normal"/>
        <w:jc w:val="both"/>
        <w:rPr/>
      </w:pPr>
      <w:r>
        <w:rPr/>
        <w:t>HPL and AEP Energy Services Gas Holding Company (“AEP”) agree that, except for the amounts set forth above, Enron shall have no further liability to AEP or HPL or any of their affiliates in connection with the contracts and prepayments described above.</w:t>
      </w:r>
    </w:p>
    <w:p>
      <w:pPr>
        <w:pStyle w:val="Normal"/>
        <w:jc w:val="both"/>
        <w:rPr/>
      </w:pPr>
      <w:r>
        <w:rPr/>
      </w:r>
    </w:p>
    <w:p>
      <w:pPr>
        <w:pStyle w:val="Heading3"/>
        <w:ind w:hanging="0" w:start="0"/>
        <w:rPr/>
      </w:pPr>
      <w:r>
        <w:rPr/>
        <w:t>II.  Specialty Sands</w:t>
      </w:r>
    </w:p>
    <w:p>
      <w:pPr>
        <w:pStyle w:val="Normal"/>
        <w:jc w:val="both"/>
        <w:rPr/>
      </w:pPr>
      <w:r>
        <w:rPr/>
      </w:r>
    </w:p>
    <w:p>
      <w:pPr>
        <w:pStyle w:val="Normal"/>
        <w:jc w:val="both"/>
        <w:rPr/>
      </w:pPr>
      <w:r>
        <w:rPr/>
        <w:t xml:space="preserve">As I previously advised you in my letter of August 27, 2001, Enron agrees to pay over to HPL the sum of $91,000 representing amounts paid by Specialty Sands prior to Closing  in settlement of a lawsuit with HPL.  </w:t>
      </w:r>
    </w:p>
    <w:p>
      <w:pPr>
        <w:pStyle w:val="Normal"/>
        <w:jc w:val="both"/>
        <w:rPr/>
      </w:pPr>
      <w:r>
        <w:rPr/>
      </w:r>
    </w:p>
    <w:p>
      <w:pPr>
        <w:pStyle w:val="Heading1"/>
        <w:ind w:hanging="0" w:start="0"/>
        <w:jc w:val="both"/>
        <w:rPr/>
      </w:pPr>
      <w:r>
        <w:rPr/>
        <w:t>III.  Cannon Storage Transaction</w:t>
      </w:r>
    </w:p>
    <w:p>
      <w:pPr>
        <w:pStyle w:val="Normal"/>
        <w:jc w:val="both"/>
        <w:rPr>
          <w:u w:val="single"/>
        </w:rPr>
      </w:pPr>
      <w:r>
        <w:rPr>
          <w:u w:val="single"/>
        </w:rPr>
      </w:r>
    </w:p>
    <w:p>
      <w:pPr>
        <w:pStyle w:val="Normal"/>
        <w:jc w:val="both"/>
        <w:rPr/>
      </w:pPr>
      <w:r>
        <w:rPr/>
        <w:t xml:space="preserve">HPL and AEP agree that Enron was under no obligation to provide a fixed for floating swap in connection with the Transaction Agreement dated February 10, 2000 under the Master Firm Purchase/Sale Agreement dated February 1, 2000 between HPL and Cannon </w:t>
      </w:r>
    </w:p>
    <w:p>
      <w:pPr>
        <w:pStyle w:val="Heading2"/>
        <w:ind w:hanging="0" w:start="0"/>
        <w:rPr/>
      </w:pPr>
      <w:r>
        <w:rPr/>
        <w:t>DRAFT—FOR DISCUSSION PURPOSES ONLY</w:t>
      </w:r>
    </w:p>
    <w:p>
      <w:pPr>
        <w:pStyle w:val="Normal"/>
        <w:jc w:val="both"/>
        <w:rPr/>
      </w:pPr>
      <w:r>
        <w:rPr/>
      </w:r>
    </w:p>
    <w:p>
      <w:pPr>
        <w:pStyle w:val="Normal"/>
        <w:jc w:val="both"/>
        <w:rPr/>
      </w:pPr>
      <w:r>
        <w:rPr/>
        <w:t xml:space="preserve">Interests Houston (the “Cannon Storage Transaction”).  Therefore, Enron has no liability to HPL or AEP or any of their affiliates in respect of the Cannon Storage Transaction. </w:t>
      </w:r>
    </w:p>
    <w:p>
      <w:pPr>
        <w:pStyle w:val="Normal"/>
        <w:jc w:val="both"/>
        <w:rPr/>
      </w:pPr>
      <w:r>
        <w:rPr/>
      </w:r>
    </w:p>
    <w:p>
      <w:pPr>
        <w:pStyle w:val="Heading1"/>
        <w:ind w:hanging="0" w:start="0"/>
        <w:jc w:val="both"/>
        <w:rPr/>
      </w:pPr>
      <w:r>
        <w:rPr/>
        <w:t>IV.  Lyondell-Citgo Refining Company LP</w:t>
      </w:r>
    </w:p>
    <w:p>
      <w:pPr>
        <w:pStyle w:val="Normal"/>
        <w:jc w:val="both"/>
        <w:rPr>
          <w:u w:val="single"/>
        </w:rPr>
      </w:pPr>
      <w:r>
        <w:rPr>
          <w:u w:val="single"/>
        </w:rPr>
      </w:r>
    </w:p>
    <w:p>
      <w:pPr>
        <w:pStyle w:val="Normal"/>
        <w:jc w:val="both"/>
        <w:rPr/>
      </w:pPr>
      <w:r>
        <w:rPr/>
        <w:t>HPL and AEP agree to pay to Enron the value, as of September 27, 2001, of the fixed for floating price swap that should have been put in place at the time of Closing in respect of the gas sale agreement with Lyondell-Citgo Refining Company LP.  The basis for the calculation of this amount is set forth on Schedule II hereto.</w:t>
      </w:r>
    </w:p>
    <w:p>
      <w:pPr>
        <w:pStyle w:val="Normal"/>
        <w:jc w:val="both"/>
        <w:rPr/>
      </w:pPr>
      <w:r>
        <w:rPr/>
      </w:r>
    </w:p>
    <w:p>
      <w:pPr>
        <w:pStyle w:val="Heading1"/>
        <w:ind w:hanging="0" w:start="0"/>
        <w:jc w:val="both"/>
        <w:rPr/>
      </w:pPr>
      <w:r>
        <w:rPr/>
        <w:t>V.  Centana Storage Transaction</w:t>
      </w:r>
    </w:p>
    <w:p>
      <w:pPr>
        <w:pStyle w:val="Normal"/>
        <w:jc w:val="both"/>
        <w:rPr/>
      </w:pPr>
      <w:r>
        <w:rPr/>
      </w:r>
    </w:p>
    <w:p>
      <w:pPr>
        <w:pStyle w:val="Normal"/>
        <w:jc w:val="both"/>
        <w:rPr/>
      </w:pPr>
      <w:r>
        <w:rPr/>
        <w:t xml:space="preserve">HPL and AEP agree to pay Enron the Houston Ship Channel Gas Daily index price as of September 7, 2001 for the gas in storage (the “Centana Storage Gas”) under the Centana Gas Storage Agreement dated August 1, 1998 (the Centana Storage Agreement”) as well as the pro rata portion of the Ad Valorem taxes due on such gas for the period following the closing.  These amounts are detailed on Schedule III.  HPL and AEP will not be obligated to pay Centana or reimburse Enron for the storage fees due and payable under the Centana Storage Agreement for the months of June and July, but will be responsible for storage fees for the months thereafter. HPL and AEP agree that Enron shall have no further liability to HPL or AEP or any of their affiliates in connection with the Centana Storage Agreement or the Centana Storage Gas, and Enron agrees that, upon payment by AEP or HPL of the amounts set forth on Schedule III, HPL and AEP shall have no further liability to Enron in connection with the purchase of the Centana Storage Gas. </w:t>
      </w:r>
    </w:p>
    <w:p>
      <w:pPr>
        <w:pStyle w:val="Normal"/>
        <w:jc w:val="both"/>
        <w:rPr/>
      </w:pPr>
      <w:r>
        <w:rPr/>
      </w:r>
    </w:p>
    <w:p>
      <w:pPr>
        <w:pStyle w:val="Heading3"/>
        <w:ind w:hanging="0" w:start="0"/>
        <w:rPr/>
      </w:pPr>
      <w:r>
        <w:rPr/>
        <w:t>VI.  SAP to PeopleSoft Conversion</w:t>
      </w:r>
    </w:p>
    <w:p>
      <w:pPr>
        <w:pStyle w:val="Normal"/>
        <w:jc w:val="both"/>
        <w:rPr/>
      </w:pPr>
      <w:r>
        <w:rPr/>
      </w:r>
    </w:p>
    <w:p>
      <w:pPr>
        <w:pStyle w:val="Normal"/>
        <w:jc w:val="both"/>
        <w:rPr/>
      </w:pPr>
      <w:r>
        <w:rPr/>
        <w:t>AEP and HPL agree to pay one-half of the costs incurred for the conversion from SAP to PeopleSoft.  The amount due to Enron is $43,001.25.</w:t>
      </w:r>
    </w:p>
    <w:p>
      <w:pPr>
        <w:pStyle w:val="Normal"/>
        <w:jc w:val="both"/>
        <w:rPr/>
      </w:pPr>
      <w:r>
        <w:rPr/>
      </w:r>
    </w:p>
    <w:p>
      <w:pPr>
        <w:pStyle w:val="Normal"/>
        <w:jc w:val="both"/>
        <w:rPr/>
      </w:pPr>
      <w:r>
        <w:rPr/>
        <w:t xml:space="preserve">AEP, HPL and Enron agree that the net amounts owed by AEP and HPL to Enron in settlement of the matters described in Sections I through VI above will be deducted by Enron from the amount owed by Enron to AEP pursuant to subsection (a) of Section 2.5 Calculation of Final Inventory of the Purchase and Sale Agreement between Enron Corp. and AEP dated as of December 27, 2000 (the “Agreement”).  The calculation of such net amount is shown on Schedule IV attached hereto.  Upon payment by Enron of the amount shown on Schedule IV attached hereto, the parties hereto agree that Enron shall have no further liability to AEP or HPL or any of their affiliates under Section 2.4 or 2.4 of the Agreement or any of the other matters described in your letters dated August 14 and August 29, 2001, copies of which are attached hereto as Exhibits A, B and C. </w:t>
      </w:r>
    </w:p>
    <w:p>
      <w:pPr>
        <w:pStyle w:val="Heading3"/>
        <w:ind w:hanging="0" w:start="0"/>
        <w:rPr/>
      </w:pPr>
      <w:r>
        <w:rPr/>
      </w:r>
    </w:p>
    <w:p>
      <w:pPr>
        <w:pStyle w:val="Heading3"/>
        <w:ind w:hanging="0" w:start="0"/>
        <w:rPr/>
      </w:pPr>
      <w:r>
        <w:rPr/>
      </w:r>
    </w:p>
    <w:p>
      <w:pPr>
        <w:pStyle w:val="Normal"/>
        <w:rPr/>
      </w:pPr>
      <w:r>
        <w:rPr/>
      </w:r>
    </w:p>
    <w:p>
      <w:pPr>
        <w:pStyle w:val="Normal"/>
        <w:rPr/>
      </w:pPr>
      <w:r>
        <w:rPr/>
      </w:r>
    </w:p>
    <w:p>
      <w:pPr>
        <w:pStyle w:val="Heading4"/>
        <w:rPr/>
      </w:pPr>
      <w:r>
        <w:rPr/>
        <w:t>DRAFT—FOR DISCUSSION PURPOSES ONLY</w:t>
      </w:r>
    </w:p>
    <w:p>
      <w:pPr>
        <w:pStyle w:val="Normal"/>
        <w:ind w:start="360" w:end="0"/>
        <w:jc w:val="center"/>
        <w:rPr/>
      </w:pPr>
      <w:r>
        <w:rPr/>
      </w:r>
    </w:p>
    <w:p>
      <w:pPr>
        <w:pStyle w:val="Normal"/>
        <w:rPr/>
      </w:pPr>
      <w:r>
        <w:rPr/>
      </w:r>
    </w:p>
    <w:p>
      <w:pPr>
        <w:pStyle w:val="Heading3"/>
        <w:ind w:hanging="0" w:start="0"/>
        <w:rPr/>
      </w:pPr>
      <w:r>
        <w:rPr/>
        <w:t>VII. A/S Line</w:t>
      </w:r>
    </w:p>
    <w:p>
      <w:pPr>
        <w:pStyle w:val="Normal"/>
        <w:jc w:val="both"/>
        <w:rPr>
          <w:u w:val="single"/>
        </w:rPr>
      </w:pPr>
      <w:r>
        <w:rPr>
          <w:u w:val="single"/>
        </w:rPr>
      </w:r>
    </w:p>
    <w:p>
      <w:pPr>
        <w:pStyle w:val="Normal"/>
        <w:jc w:val="both"/>
        <w:rPr/>
      </w:pPr>
      <w:r>
        <w:rPr/>
        <w:t>Reference is hereby made to the Second Amendment to Purchase and Sale Agreement dates as of the 31</w:t>
      </w:r>
      <w:r>
        <w:rPr>
          <w:vertAlign w:val="superscript"/>
        </w:rPr>
        <w:t>st</w:t>
      </w:r>
      <w:r>
        <w:rPr/>
        <w:t xml:space="preserve"> day of May, 2001 by and between Enron Corp. and AEP (the “Second Amendment”).   Enron Corp and AEP hereby agree that the total amount of the Future A/S Line Costs (as defined in the Second Amendment) is $____________________ and that upon payment by Enron of such amount, Enron shall have no further liability to AEP or HPL or any of their affiliates for any further Future A/S Line Costs.</w:t>
      </w:r>
    </w:p>
    <w:p>
      <w:pPr>
        <w:pStyle w:val="Normal"/>
        <w:jc w:val="both"/>
        <w:rPr/>
      </w:pPr>
      <w:r>
        <w:rPr/>
      </w:r>
    </w:p>
    <w:p>
      <w:pPr>
        <w:pStyle w:val="Heading3"/>
        <w:ind w:hanging="0" w:start="0"/>
        <w:rPr/>
      </w:pPr>
      <w:r>
        <w:rPr/>
        <w:t>VIII.  Other Invoices</w:t>
      </w:r>
    </w:p>
    <w:p>
      <w:pPr>
        <w:pStyle w:val="Normal"/>
        <w:jc w:val="both"/>
        <w:rPr>
          <w:u w:val="single"/>
        </w:rPr>
      </w:pPr>
      <w:r>
        <w:rPr>
          <w:u w:val="single"/>
        </w:rPr>
      </w:r>
    </w:p>
    <w:p>
      <w:pPr>
        <w:pStyle w:val="VEBodyText"/>
        <w:spacing w:before="0" w:after="0"/>
        <w:rPr>
          <w:rFonts w:cs="Times New Roman;Times"/>
        </w:rPr>
      </w:pPr>
      <w:r>
        <w:rPr>
          <w:rFonts w:cs="Times New Roman;Times"/>
        </w:rPr>
        <w:t>AEP and HPL agree that Enron shall not be required to pay or reimburse AEP for the payment of the following invoices, which invoices shall remain the obligation of AEP and HPL:</w:t>
      </w:r>
    </w:p>
    <w:p>
      <w:pPr>
        <w:pStyle w:val="Normal"/>
        <w:ind w:start="360" w:end="0"/>
        <w:jc w:val="both"/>
        <w:rPr>
          <w:rFonts w:cs="Times New Roman;Times"/>
        </w:rPr>
      </w:pPr>
      <w:r>
        <w:rPr>
          <w:rFonts w:cs="Times New Roman;Times"/>
        </w:rPr>
      </w:r>
    </w:p>
    <w:p>
      <w:pPr>
        <w:pStyle w:val="Normal"/>
        <w:ind w:start="360" w:end="0"/>
        <w:jc w:val="both"/>
        <w:rPr/>
      </w:pPr>
      <w:r>
        <w:rPr/>
      </w:r>
    </w:p>
    <w:p>
      <w:pPr>
        <w:pStyle w:val="Normal"/>
        <w:numPr>
          <w:ilvl w:val="0"/>
          <w:numId w:val="2"/>
        </w:numPr>
        <w:jc w:val="both"/>
        <w:rPr/>
      </w:pPr>
      <w:r>
        <w:rPr/>
        <w:t>Invoice dated 5/24/01 from D. L. Peterson Trust (Invoice number 0003767532) in the amount of $22,152.00 for a Dodge Ram Truck</w:t>
      </w:r>
    </w:p>
    <w:p>
      <w:pPr>
        <w:pStyle w:val="Normal"/>
        <w:numPr>
          <w:ilvl w:val="0"/>
          <w:numId w:val="2"/>
        </w:numPr>
        <w:jc w:val="both"/>
        <w:rPr/>
      </w:pPr>
      <w:r>
        <w:rPr/>
        <w:t>Invoice dated 6/22/01 from Gregg Engineering Services Ltd. (Invoice number11253) in the amount of $107, 635.00 for system developments made to the Gregg modeling software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Please acknowledge your agreement with the forgoing by executing this letter where indicated below and faxing it to me at 713-646-3234.</w:t>
      </w:r>
    </w:p>
    <w:p>
      <w:pPr>
        <w:pStyle w:val="Normal"/>
        <w:jc w:val="both"/>
        <w:rPr/>
      </w:pPr>
      <w:r>
        <w:rPr/>
      </w:r>
    </w:p>
    <w:p>
      <w:pPr>
        <w:pStyle w:val="Normal"/>
        <w:jc w:val="both"/>
        <w:rPr/>
      </w:pPr>
      <w:r>
        <w:rPr/>
        <w:tab/>
        <w:tab/>
        <w:tab/>
        <w:tab/>
        <w:tab/>
        <w:tab/>
      </w:r>
    </w:p>
    <w:p>
      <w:pPr>
        <w:pStyle w:val="Normal"/>
        <w:jc w:val="both"/>
        <w:rPr/>
      </w:pPr>
      <w:r>
        <w:rPr/>
        <w:tab/>
        <w:tab/>
        <w:tab/>
        <w:tab/>
        <w:tab/>
        <w:tab/>
        <w:t>Very truly yours,</w:t>
      </w:r>
    </w:p>
    <w:p>
      <w:pPr>
        <w:pStyle w:val="Normal"/>
        <w:jc w:val="both"/>
        <w:rPr/>
      </w:pPr>
      <w:r>
        <w:rPr/>
      </w:r>
    </w:p>
    <w:p>
      <w:pPr>
        <w:pStyle w:val="Normal"/>
        <w:jc w:val="both"/>
        <w:rPr/>
      </w:pPr>
      <w:r>
        <w:rPr/>
        <w:tab/>
        <w:tab/>
        <w:tab/>
        <w:tab/>
        <w:tab/>
        <w:tab/>
        <w:t>ENRON NORTH AMERICA CORP.</w:t>
      </w:r>
    </w:p>
    <w:p>
      <w:pPr>
        <w:pStyle w:val="Normal"/>
        <w:jc w:val="both"/>
        <w:rPr/>
      </w:pPr>
      <w:r>
        <w:rPr/>
      </w:r>
    </w:p>
    <w:p>
      <w:pPr>
        <w:pStyle w:val="Normal"/>
        <w:jc w:val="both"/>
        <w:rPr/>
      </w:pPr>
      <w:r>
        <w:rPr/>
        <w:tab/>
        <w:tab/>
        <w:tab/>
        <w:tab/>
        <w:tab/>
        <w:tab/>
        <w:t>By:___________________________</w:t>
      </w:r>
    </w:p>
    <w:p>
      <w:pPr>
        <w:pStyle w:val="Normal"/>
        <w:ind w:firstLine="720" w:start="4320" w:end="0"/>
        <w:jc w:val="both"/>
        <w:rPr/>
      </w:pPr>
      <w:r>
        <w:rPr/>
        <w:t>Brian Redmond</w:t>
      </w:r>
    </w:p>
    <w:p>
      <w:pPr>
        <w:pStyle w:val="Normal"/>
        <w:jc w:val="both"/>
        <w:rPr/>
      </w:pPr>
      <w:r>
        <w:rPr/>
        <w:tab/>
        <w:tab/>
        <w:tab/>
        <w:tab/>
        <w:tab/>
        <w:tab/>
        <w:tab/>
        <w:t>Managing director</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rPr/>
      </w:pPr>
      <w:r>
        <w:rPr/>
        <w:t>DRAFT—FOR DISCUSSION PURPOSES ONLY</w:t>
      </w:r>
    </w:p>
    <w:p>
      <w:pPr>
        <w:pStyle w:val="Normal"/>
        <w:jc w:val="center"/>
        <w:rPr/>
      </w:pPr>
      <w:r>
        <w:rPr/>
      </w:r>
    </w:p>
    <w:p>
      <w:pPr>
        <w:pStyle w:val="Normal"/>
        <w:jc w:val="center"/>
        <w:rPr/>
      </w:pPr>
      <w:r>
        <w:rPr/>
      </w:r>
    </w:p>
    <w:p>
      <w:pPr>
        <w:pStyle w:val="VEBodyText"/>
        <w:spacing w:before="0" w:after="0"/>
        <w:rPr>
          <w:rFonts w:cs="Times New Roman;Times"/>
        </w:rPr>
      </w:pPr>
      <w:r>
        <w:rPr>
          <w:rFonts w:cs="Times New Roman;Times"/>
        </w:rPr>
      </w:r>
    </w:p>
    <w:p>
      <w:pPr>
        <w:pStyle w:val="Normal"/>
        <w:jc w:val="both"/>
        <w:rPr/>
      </w:pPr>
      <w:r>
        <w:rPr/>
        <w:t>Agreed to this __ day of October __, 2001</w:t>
      </w:r>
    </w:p>
    <w:p>
      <w:pPr>
        <w:pStyle w:val="Normal"/>
        <w:jc w:val="both"/>
        <w:rPr/>
      </w:pPr>
      <w:r>
        <w:rPr/>
      </w:r>
    </w:p>
    <w:p>
      <w:pPr>
        <w:pStyle w:val="Normal"/>
        <w:jc w:val="both"/>
        <w:rPr/>
      </w:pPr>
      <w:r>
        <w:rPr/>
        <w:t>Houston Pipe Line Company</w:t>
      </w:r>
    </w:p>
    <w:p>
      <w:pPr>
        <w:pStyle w:val="Normal"/>
        <w:jc w:val="both"/>
        <w:rPr/>
      </w:pPr>
      <w:r>
        <w:rPr/>
      </w:r>
    </w:p>
    <w:p>
      <w:pPr>
        <w:pStyle w:val="Normal"/>
        <w:jc w:val="both"/>
        <w:rPr/>
      </w:pPr>
      <w:r>
        <w:rPr/>
        <w:t>By:____________________</w:t>
      </w:r>
    </w:p>
    <w:p>
      <w:pPr>
        <w:pStyle w:val="Normal"/>
        <w:jc w:val="both"/>
        <w:rPr/>
      </w:pPr>
      <w:r>
        <w:rPr/>
        <w:t>Name:__________________</w:t>
      </w:r>
    </w:p>
    <w:p>
      <w:pPr>
        <w:pStyle w:val="Normal"/>
        <w:jc w:val="both"/>
        <w:rPr/>
      </w:pPr>
      <w:r>
        <w:rPr/>
        <w:t>Title:___________________</w:t>
      </w:r>
    </w:p>
    <w:p>
      <w:pPr>
        <w:pStyle w:val="Normal"/>
        <w:jc w:val="both"/>
        <w:rPr/>
      </w:pPr>
      <w:r>
        <w:rPr/>
      </w:r>
    </w:p>
    <w:p>
      <w:pPr>
        <w:pStyle w:val="Normal"/>
        <w:jc w:val="both"/>
        <w:rPr/>
      </w:pPr>
      <w:r>
        <w:rPr/>
        <w:t>AEP Energy Services Gas Holding Company</w:t>
      </w:r>
    </w:p>
    <w:p>
      <w:pPr>
        <w:pStyle w:val="Normal"/>
        <w:jc w:val="both"/>
        <w:rPr/>
      </w:pPr>
      <w:r>
        <w:rPr/>
      </w:r>
    </w:p>
    <w:p>
      <w:pPr>
        <w:pStyle w:val="Normal"/>
        <w:jc w:val="both"/>
        <w:rPr/>
      </w:pPr>
      <w:r>
        <w:rPr/>
        <w:t>By:____________________</w:t>
      </w:r>
    </w:p>
    <w:p>
      <w:pPr>
        <w:pStyle w:val="Normal"/>
        <w:jc w:val="both"/>
        <w:rPr/>
      </w:pPr>
      <w:r>
        <w:rPr/>
        <w:t>Name:__________________</w:t>
      </w:r>
    </w:p>
    <w:p>
      <w:pPr>
        <w:pStyle w:val="Normal"/>
        <w:jc w:val="both"/>
        <w:rPr/>
      </w:pPr>
      <w:r>
        <w:rPr/>
        <w:t>Title:___________________</w:t>
      </w:r>
    </w:p>
    <w:p>
      <w:pPr>
        <w:pStyle w:val="Normal"/>
        <w:jc w:val="center"/>
        <w:rPr/>
      </w:pPr>
      <w:r>
        <w:rPr/>
      </w:r>
    </w:p>
    <w:p>
      <w:pPr>
        <w:pStyle w:val="Normal"/>
        <w:jc w:val="center"/>
        <w:rPr/>
      </w:pPr>
      <w:r>
        <w:rPr/>
      </w:r>
    </w:p>
    <w:p>
      <w:pPr>
        <w:pStyle w:val="Normal"/>
        <w:jc w:val="center"/>
        <w:rPr/>
      </w:pPr>
      <w:r>
        <w:rPr/>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65"/>
        </w:tabs>
        <w:ind w:start="765" w:hanging="40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jc w:val="both"/>
      <w:outlineLvl w:val="2"/>
    </w:pPr>
    <w:rPr>
      <w:u w:val="single"/>
    </w:rPr>
  </w:style>
  <w:style w:type="paragraph" w:styleId="Heading4">
    <w:name w:val="heading 4"/>
    <w:basedOn w:val="Normal"/>
    <w:next w:val="Normal"/>
    <w:qFormat/>
    <w:pPr>
      <w:keepNext w:val="true"/>
      <w:numPr>
        <w:ilvl w:val="3"/>
        <w:numId w:val="1"/>
      </w:numPr>
      <w:ind w:hanging="0" w:start="360" w:end="0"/>
      <w:jc w:val="center"/>
      <w:outlineLvl w:val="3"/>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BodyText">
    <w:name w:val="VE Body Text"/>
    <w:basedOn w:val="Normal"/>
    <w:qFormat/>
    <w:pPr>
      <w:spacing w:before="0" w:after="240"/>
      <w:jc w:val="both"/>
    </w:pPr>
    <w:rPr>
      <w:rFonts w:cs="Arial;helvetic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2001-09-28T16:30:00Z</dcterms:created>
  <dc:creator>akoehle</dc:creator>
  <dc:description/>
  <dc:language>en-CA</dc:language>
  <cp:lastModifiedBy>akoehle</cp:lastModifiedBy>
  <cp:lastPrinted>2001-10-01T17:09:00Z</cp:lastPrinted>
  <dcterms:modified xsi:type="dcterms:W3CDTF">2001-10-03T16:23:00Z</dcterms:modified>
  <cp:revision>6</cp:revision>
  <dc:subject/>
  <dc:title>October __, 2001</dc:title>
</cp:coreProperties>
</file>