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leaseHead"/>
        <w:rPr>
          <w:caps w:val="false"/>
          <w:smallCaps w:val="false"/>
        </w:rPr>
      </w:pPr>
      <w:r>
        <w:rPr/>
        <w:t>PUC and Edison Settle Federal litigation to maintain utility service without raising rates</w:t>
      </w:r>
      <w:r>
        <mc:AlternateContent>
          <mc:Choice Requires="wps">
            <w:drawing>
              <wp:anchor behindDoc="0" distT="0" distB="0" distL="114300" distR="114300" simplePos="0" locked="0" layoutInCell="0" allowOverlap="1" relativeHeight="2">
                <wp:simplePos x="0" y="0"/>
                <wp:positionH relativeFrom="margin">
                  <wp:align>center</wp:align>
                </wp:positionH>
                <wp:positionV relativeFrom="page">
                  <wp:posOffset>1603375</wp:posOffset>
                </wp:positionV>
                <wp:extent cx="6102350" cy="506095"/>
                <wp:effectExtent l="0" t="0" r="0" b="0"/>
                <wp:wrapSquare wrapText="bothSides"/>
                <wp:docPr id="1" name="Frame1"/>
                <a:graphic xmlns:a="http://schemas.openxmlformats.org/drawingml/2006/main">
                  <a:graphicData uri="http://schemas.microsoft.com/office/word/2010/wordprocessingShape">
                    <wps:wsp>
                      <wps:cNvSpPr txBox="1"/>
                      <wps:spPr>
                        <a:xfrm>
                          <a:off x="0" y="0"/>
                          <a:ext cx="6102350" cy="506095"/>
                        </a:xfrm>
                        <a:prstGeom prst="rect"/>
                        <a:solidFill>
                          <a:srgbClr val="FFFFFF">
                            <a:alpha val="0"/>
                          </a:srgbClr>
                        </a:solidFill>
                      </wps:spPr>
                      <wps:txbx>
                        <w:txbxContent>
                          <w:tbl>
                            <w:tblPr>
                              <w:tblW w:w="9610" w:type="dxa"/>
                              <w:jc w:val="start"/>
                              <w:tblInd w:w="108" w:type="dxa"/>
                              <w:tblLayout w:type="fixed"/>
                              <w:tblCellMar>
                                <w:top w:w="0" w:type="dxa"/>
                                <w:start w:w="108" w:type="dxa"/>
                                <w:bottom w:w="0" w:type="dxa"/>
                                <w:end w:w="108" w:type="dxa"/>
                              </w:tblCellMar>
                            </w:tblPr>
                            <w:tblGrid>
                              <w:gridCol w:w="2088"/>
                              <w:gridCol w:w="2070"/>
                              <w:gridCol w:w="414"/>
                              <w:gridCol w:w="2518"/>
                              <w:gridCol w:w="2520"/>
                            </w:tblGrid>
                            <w:tr>
                              <w:trPr>
                                <w:trHeight w:val="90" w:hRule="atLeast"/>
                              </w:trPr>
                              <w:tc>
                                <w:tcPr>
                                  <w:tcW w:w="4572" w:type="dxa"/>
                                  <w:gridSpan w:val="3"/>
                                  <w:tcBorders/>
                                  <w:vAlign w:val="center"/>
                                </w:tcPr>
                                <w:p>
                                  <w:pPr>
                                    <w:pStyle w:val="contactname"/>
                                    <w:spacing w:lineRule="atLeast" w:line="90"/>
                                    <w:jc w:val="start"/>
                                    <w:rPr/>
                                  </w:pPr>
                                  <w:r>
                                    <w:rPr>
                                      <w:sz w:val="22"/>
                                    </w:rPr>
                                    <w:t xml:space="preserve">MEDIA CONTACT:         </w:t>
                                  </w:r>
                                  <w:r>
                                    <w:rPr>
                                      <w:sz w:val="22"/>
                                    </w:rPr>
                                    <w:fldChar w:fldCharType="begin"/>
                                  </w:r>
                                  <w:r>
                                    <w:rPr>
                                      <w:sz w:val="22"/>
                                    </w:rPr>
                                    <w:instrText xml:space="preserve"> FILLIN "MERGEFORMAT"</w:instrText>
                                  </w:r>
                                  <w:r>
                                    <w:rPr>
                                      <w:sz w:val="22"/>
                                    </w:rPr>
                                    <w:fldChar w:fldCharType="separate"/>
                                  </w:r>
                                  <w:r>
                                    <w:rPr>
                                      <w:sz w:val="22"/>
                                    </w:rPr>
                                  </w:r>
                                  <w:r>
                                    <w:rPr>
                                      <w:sz w:val="22"/>
                                    </w:rPr>
                                    <w:fldChar w:fldCharType="end"/>
                                  </w:r>
                                  <w:r>
                                    <w:rPr>
                                      <w:sz w:val="22"/>
                                    </w:rPr>
                                    <w:t>Terrie Prosper</w:t>
                                  </w:r>
                                </w:p>
                              </w:tc>
                              <w:tc>
                                <w:tcPr>
                                  <w:tcW w:w="2518" w:type="dxa"/>
                                  <w:tcBorders/>
                                </w:tcPr>
                                <w:p>
                                  <w:pPr>
                                    <w:pStyle w:val="contactname"/>
                                    <w:spacing w:lineRule="atLeast" w:line="90"/>
                                    <w:rPr>
                                      <w:sz w:val="22"/>
                                    </w:rPr>
                                  </w:pPr>
                                  <w:r>
                                    <w:rPr>
                                      <w:sz w:val="22"/>
                                    </w:rPr>
                                    <w:t>October 2, 2001</w:t>
                                  </w:r>
                                </w:p>
                              </w:tc>
                              <w:tc>
                                <w:tcPr>
                                  <w:tcW w:w="2520" w:type="dxa"/>
                                  <w:tcBorders/>
                                </w:tcPr>
                                <w:p>
                                  <w:pPr>
                                    <w:pStyle w:val="ReleaseDate"/>
                                    <w:spacing w:lineRule="atLeast" w:line="90"/>
                                    <w:rPr/>
                                  </w:pPr>
                                  <w:r>
                                    <w:rPr/>
                                    <w:t xml:space="preserve">CPUC:  118 </w:t>
                                  </w:r>
                                </w:p>
                              </w:tc>
                            </w:tr>
                            <w:tr>
                              <w:trPr>
                                <w:trHeight w:val="263" w:hRule="atLeast"/>
                              </w:trPr>
                              <w:tc>
                                <w:tcPr>
                                  <w:tcW w:w="2088" w:type="dxa"/>
                                  <w:tcBorders/>
                                </w:tcPr>
                                <w:p>
                                  <w:pPr>
                                    <w:pStyle w:val="ReleaseDate"/>
                                    <w:rPr/>
                                  </w:pPr>
                                  <w:r>
                                    <w:rPr/>
                                    <w:t> </w:t>
                                  </w:r>
                                </w:p>
                              </w:tc>
                              <w:tc>
                                <w:tcPr>
                                  <w:tcW w:w="2070" w:type="dxa"/>
                                  <w:tcBorders/>
                                </w:tcPr>
                                <w:p>
                                  <w:pPr>
                                    <w:pStyle w:val="contactphone"/>
                                    <w:rPr/>
                                  </w:pPr>
                                  <w:r>
                                    <w:rPr/>
                                    <w:t>415-703-1366</w:t>
                                  </w:r>
                                </w:p>
                              </w:tc>
                              <w:tc>
                                <w:tcPr>
                                  <w:tcW w:w="2932" w:type="dxa"/>
                                  <w:gridSpan w:val="2"/>
                                  <w:tcBorders/>
                                </w:tcPr>
                                <w:p>
                                  <w:pPr>
                                    <w:pStyle w:val="contactphone"/>
                                    <w:jc w:val="center"/>
                                    <w:rPr/>
                                  </w:pPr>
                                  <w:r>
                                    <w:rPr>
                                      <w:rFonts w:eastAsia="Bookman;Bookman Old Style"/>
                                    </w:rPr>
                                    <w:t xml:space="preserve">               </w:t>
                                  </w:r>
                                  <w:r>
                                    <w:rPr/>
                                    <w:t>tdp@cpuc.ca.gov</w:t>
                                  </w:r>
                                </w:p>
                              </w:tc>
                              <w:tc>
                                <w:tcPr>
                                  <w:tcW w:w="2520" w:type="dxa"/>
                                  <w:tcBorders/>
                                </w:tcPr>
                                <w:p>
                                  <w:pPr>
                                    <w:pStyle w:val="contactphone"/>
                                    <w:ind w:hanging="0" w:end="0"/>
                                    <w:rPr/>
                                  </w:pPr>
                                  <w:r>
                                    <w:rPr/>
                                    <w:t> </w:t>
                                  </w:r>
                                </w:p>
                              </w:tc>
                            </w:tr>
                            <w:tr>
                              <w:trPr/>
                              <w:tc>
                                <w:tcPr>
                                  <w:tcW w:w="2088" w:type="dxa"/>
                                  <w:tcBorders/>
                                  <w:vAlign w:val="center"/>
                                </w:tcPr>
                                <w:p>
                                  <w:pPr>
                                    <w:pStyle w:val="Normal"/>
                                    <w:snapToGrid w:val="false"/>
                                    <w:rPr>
                                      <w:sz w:val="0"/>
                                    </w:rPr>
                                  </w:pPr>
                                  <w:r>
                                    <w:rPr>
                                      <w:sz w:val="0"/>
                                    </w:rPr>
                                  </w:r>
                                </w:p>
                              </w:tc>
                              <w:tc>
                                <w:tcPr>
                                  <w:tcW w:w="2070" w:type="dxa"/>
                                  <w:tcBorders/>
                                  <w:vAlign w:val="center"/>
                                </w:tcPr>
                                <w:p>
                                  <w:pPr>
                                    <w:pStyle w:val="Normal"/>
                                    <w:snapToGrid w:val="false"/>
                                    <w:rPr>
                                      <w:sz w:val="0"/>
                                    </w:rPr>
                                  </w:pPr>
                                  <w:r>
                                    <w:rPr>
                                      <w:sz w:val="0"/>
                                    </w:rPr>
                                  </w:r>
                                </w:p>
                              </w:tc>
                              <w:tc>
                                <w:tcPr>
                                  <w:tcW w:w="414" w:type="dxa"/>
                                  <w:tcBorders/>
                                  <w:vAlign w:val="center"/>
                                </w:tcPr>
                                <w:p>
                                  <w:pPr>
                                    <w:pStyle w:val="Normal"/>
                                    <w:snapToGrid w:val="false"/>
                                    <w:rPr>
                                      <w:sz w:val="0"/>
                                    </w:rPr>
                                  </w:pPr>
                                  <w:r>
                                    <w:rPr>
                                      <w:sz w:val="0"/>
                                    </w:rPr>
                                  </w:r>
                                </w:p>
                              </w:tc>
                              <w:tc>
                                <w:tcPr>
                                  <w:tcW w:w="2518" w:type="dxa"/>
                                  <w:tcBorders/>
                                  <w:vAlign w:val="center"/>
                                </w:tcPr>
                                <w:p>
                                  <w:pPr>
                                    <w:pStyle w:val="Normal"/>
                                    <w:snapToGrid w:val="false"/>
                                    <w:rPr>
                                      <w:sz w:val="0"/>
                                    </w:rPr>
                                  </w:pPr>
                                  <w:r>
                                    <w:rPr>
                                      <w:sz w:val="0"/>
                                    </w:rPr>
                                  </w:r>
                                </w:p>
                              </w:tc>
                              <w:tc>
                                <w:tcPr>
                                  <w:tcW w:w="2520" w:type="dxa"/>
                                  <w:tcBorders/>
                                  <w:vAlign w:val="center"/>
                                </w:tcPr>
                                <w:p>
                                  <w:pPr>
                                    <w:pStyle w:val="Normal"/>
                                    <w:snapToGrid w:val="false"/>
                                    <w:rPr>
                                      <w:sz w:val="0"/>
                                    </w:rPr>
                                  </w:pPr>
                                  <w:r>
                                    <w:rPr>
                                      <w:sz w:val="0"/>
                                    </w:rPr>
                                  </w:r>
                                </w:p>
                              </w:tc>
                            </w:tr>
                          </w:tbl>
                        </w:txbxContent>
                      </wps:txbx>
                      <wps:bodyPr anchor="t" lIns="0" tIns="0" rIns="0" bIns="0">
                        <a:noAutofit/>
                      </wps:bodyPr>
                    </wps:wsp>
                  </a:graphicData>
                </a:graphic>
              </wp:anchor>
            </w:drawing>
          </mc:Choice>
          <mc:Fallback>
            <w:pict>
              <v:rect fillcolor="#FFFFFF" style="position:absolute;rotation:-0;width:480.5pt;height:39.85pt;mso-wrap-distance-left:9pt;mso-wrap-distance-right:9pt;mso-wrap-distance-top:0pt;mso-wrap-distance-bottom:0pt;margin-top:126.25pt;mso-position-vertical-relative:page;margin-left:-6.25pt;mso-position-horizontal:center;mso-position-horizontal-relative:margin">
                <v:fill opacity="0f"/>
                <v:textbox inset="0in,0in,0in,0in">
                  <w:txbxContent>
                    <w:tbl>
                      <w:tblPr>
                        <w:tblW w:w="9610" w:type="dxa"/>
                        <w:jc w:val="start"/>
                        <w:tblInd w:w="108" w:type="dxa"/>
                        <w:tblLayout w:type="fixed"/>
                        <w:tblCellMar>
                          <w:top w:w="0" w:type="dxa"/>
                          <w:start w:w="108" w:type="dxa"/>
                          <w:bottom w:w="0" w:type="dxa"/>
                          <w:end w:w="108" w:type="dxa"/>
                        </w:tblCellMar>
                      </w:tblPr>
                      <w:tblGrid>
                        <w:gridCol w:w="2088"/>
                        <w:gridCol w:w="2070"/>
                        <w:gridCol w:w="414"/>
                        <w:gridCol w:w="2518"/>
                        <w:gridCol w:w="2520"/>
                      </w:tblGrid>
                      <w:tr>
                        <w:trPr>
                          <w:trHeight w:val="90" w:hRule="atLeast"/>
                        </w:trPr>
                        <w:tc>
                          <w:tcPr>
                            <w:tcW w:w="4572" w:type="dxa"/>
                            <w:gridSpan w:val="3"/>
                            <w:tcBorders/>
                            <w:vAlign w:val="center"/>
                          </w:tcPr>
                          <w:p>
                            <w:pPr>
                              <w:pStyle w:val="contactname"/>
                              <w:spacing w:lineRule="atLeast" w:line="90"/>
                              <w:jc w:val="start"/>
                              <w:rPr/>
                            </w:pPr>
                            <w:r>
                              <w:rPr>
                                <w:sz w:val="22"/>
                              </w:rPr>
                              <w:t xml:space="preserve">MEDIA CONTACT:         </w:t>
                            </w:r>
                            <w:r>
                              <w:rPr>
                                <w:sz w:val="22"/>
                              </w:rPr>
                              <w:fldChar w:fldCharType="begin"/>
                            </w:r>
                            <w:r>
                              <w:rPr>
                                <w:sz w:val="22"/>
                              </w:rPr>
                              <w:instrText xml:space="preserve"> FILLIN "MERGEFORMAT"</w:instrText>
                            </w:r>
                            <w:r>
                              <w:rPr>
                                <w:sz w:val="22"/>
                              </w:rPr>
                              <w:fldChar w:fldCharType="separate"/>
                            </w:r>
                            <w:r>
                              <w:rPr>
                                <w:sz w:val="22"/>
                              </w:rPr>
                            </w:r>
                            <w:r>
                              <w:rPr>
                                <w:sz w:val="22"/>
                              </w:rPr>
                              <w:fldChar w:fldCharType="end"/>
                            </w:r>
                            <w:r>
                              <w:rPr>
                                <w:sz w:val="22"/>
                              </w:rPr>
                              <w:t>Terrie Prosper</w:t>
                            </w:r>
                          </w:p>
                        </w:tc>
                        <w:tc>
                          <w:tcPr>
                            <w:tcW w:w="2518" w:type="dxa"/>
                            <w:tcBorders/>
                          </w:tcPr>
                          <w:p>
                            <w:pPr>
                              <w:pStyle w:val="contactname"/>
                              <w:spacing w:lineRule="atLeast" w:line="90"/>
                              <w:rPr>
                                <w:sz w:val="22"/>
                              </w:rPr>
                            </w:pPr>
                            <w:r>
                              <w:rPr>
                                <w:sz w:val="22"/>
                              </w:rPr>
                              <w:t>October 2, 2001</w:t>
                            </w:r>
                          </w:p>
                        </w:tc>
                        <w:tc>
                          <w:tcPr>
                            <w:tcW w:w="2520" w:type="dxa"/>
                            <w:tcBorders/>
                          </w:tcPr>
                          <w:p>
                            <w:pPr>
                              <w:pStyle w:val="ReleaseDate"/>
                              <w:spacing w:lineRule="atLeast" w:line="90"/>
                              <w:rPr/>
                            </w:pPr>
                            <w:r>
                              <w:rPr/>
                              <w:t xml:space="preserve">CPUC:  118 </w:t>
                            </w:r>
                          </w:p>
                        </w:tc>
                      </w:tr>
                      <w:tr>
                        <w:trPr>
                          <w:trHeight w:val="263" w:hRule="atLeast"/>
                        </w:trPr>
                        <w:tc>
                          <w:tcPr>
                            <w:tcW w:w="2088" w:type="dxa"/>
                            <w:tcBorders/>
                          </w:tcPr>
                          <w:p>
                            <w:pPr>
                              <w:pStyle w:val="ReleaseDate"/>
                              <w:rPr/>
                            </w:pPr>
                            <w:r>
                              <w:rPr/>
                              <w:t> </w:t>
                            </w:r>
                          </w:p>
                        </w:tc>
                        <w:tc>
                          <w:tcPr>
                            <w:tcW w:w="2070" w:type="dxa"/>
                            <w:tcBorders/>
                          </w:tcPr>
                          <w:p>
                            <w:pPr>
                              <w:pStyle w:val="contactphone"/>
                              <w:rPr/>
                            </w:pPr>
                            <w:r>
                              <w:rPr/>
                              <w:t>415-703-1366</w:t>
                            </w:r>
                          </w:p>
                        </w:tc>
                        <w:tc>
                          <w:tcPr>
                            <w:tcW w:w="2932" w:type="dxa"/>
                            <w:gridSpan w:val="2"/>
                            <w:tcBorders/>
                          </w:tcPr>
                          <w:p>
                            <w:pPr>
                              <w:pStyle w:val="contactphone"/>
                              <w:jc w:val="center"/>
                              <w:rPr/>
                            </w:pPr>
                            <w:r>
                              <w:rPr>
                                <w:rFonts w:eastAsia="Bookman;Bookman Old Style"/>
                              </w:rPr>
                              <w:t xml:space="preserve">               </w:t>
                            </w:r>
                            <w:r>
                              <w:rPr/>
                              <w:t>tdp@cpuc.ca.gov</w:t>
                            </w:r>
                          </w:p>
                        </w:tc>
                        <w:tc>
                          <w:tcPr>
                            <w:tcW w:w="2520" w:type="dxa"/>
                            <w:tcBorders/>
                          </w:tcPr>
                          <w:p>
                            <w:pPr>
                              <w:pStyle w:val="contactphone"/>
                              <w:ind w:hanging="0" w:end="0"/>
                              <w:rPr/>
                            </w:pPr>
                            <w:r>
                              <w:rPr/>
                              <w:t> </w:t>
                            </w:r>
                          </w:p>
                        </w:tc>
                      </w:tr>
                      <w:tr>
                        <w:trPr/>
                        <w:tc>
                          <w:tcPr>
                            <w:tcW w:w="2088" w:type="dxa"/>
                            <w:tcBorders/>
                            <w:vAlign w:val="center"/>
                          </w:tcPr>
                          <w:p>
                            <w:pPr>
                              <w:pStyle w:val="Normal"/>
                              <w:snapToGrid w:val="false"/>
                              <w:rPr>
                                <w:sz w:val="0"/>
                              </w:rPr>
                            </w:pPr>
                            <w:r>
                              <w:rPr>
                                <w:sz w:val="0"/>
                              </w:rPr>
                            </w:r>
                          </w:p>
                        </w:tc>
                        <w:tc>
                          <w:tcPr>
                            <w:tcW w:w="2070" w:type="dxa"/>
                            <w:tcBorders/>
                            <w:vAlign w:val="center"/>
                          </w:tcPr>
                          <w:p>
                            <w:pPr>
                              <w:pStyle w:val="Normal"/>
                              <w:snapToGrid w:val="false"/>
                              <w:rPr>
                                <w:sz w:val="0"/>
                              </w:rPr>
                            </w:pPr>
                            <w:r>
                              <w:rPr>
                                <w:sz w:val="0"/>
                              </w:rPr>
                            </w:r>
                          </w:p>
                        </w:tc>
                        <w:tc>
                          <w:tcPr>
                            <w:tcW w:w="414" w:type="dxa"/>
                            <w:tcBorders/>
                            <w:vAlign w:val="center"/>
                          </w:tcPr>
                          <w:p>
                            <w:pPr>
                              <w:pStyle w:val="Normal"/>
                              <w:snapToGrid w:val="false"/>
                              <w:rPr>
                                <w:sz w:val="0"/>
                              </w:rPr>
                            </w:pPr>
                            <w:r>
                              <w:rPr>
                                <w:sz w:val="0"/>
                              </w:rPr>
                            </w:r>
                          </w:p>
                        </w:tc>
                        <w:tc>
                          <w:tcPr>
                            <w:tcW w:w="2518" w:type="dxa"/>
                            <w:tcBorders/>
                            <w:vAlign w:val="center"/>
                          </w:tcPr>
                          <w:p>
                            <w:pPr>
                              <w:pStyle w:val="Normal"/>
                              <w:snapToGrid w:val="false"/>
                              <w:rPr>
                                <w:sz w:val="0"/>
                              </w:rPr>
                            </w:pPr>
                            <w:r>
                              <w:rPr>
                                <w:sz w:val="0"/>
                              </w:rPr>
                            </w:r>
                          </w:p>
                        </w:tc>
                        <w:tc>
                          <w:tcPr>
                            <w:tcW w:w="2520" w:type="dxa"/>
                            <w:tcBorders/>
                            <w:vAlign w:val="center"/>
                          </w:tcPr>
                          <w:p>
                            <w:pPr>
                              <w:pStyle w:val="Normal"/>
                              <w:snapToGrid w:val="false"/>
                              <w:rPr>
                                <w:sz w:val="0"/>
                              </w:rPr>
                            </w:pPr>
                            <w:r>
                              <w:rPr>
                                <w:sz w:val="0"/>
                              </w:rPr>
                            </w:r>
                          </w:p>
                        </w:tc>
                      </w:tr>
                    </w:tbl>
                  </w:txbxContent>
                </v:textbox>
                <w10:wrap type="square"/>
              </v:rect>
            </w:pict>
          </mc:Fallback>
        </mc:AlternateContent>
      </w:r>
    </w:p>
    <w:p>
      <w:pPr>
        <w:pStyle w:val="Normal"/>
        <w:rPr>
          <w:u w:val="single"/>
        </w:rPr>
      </w:pPr>
      <w:r>
        <w:rPr/>
        <w:t>The California Public Utilities Commission (PUC) and Southern California Edison (Edison) today reached a settlement in the Filed Rate Doctrine lawsuit Edison filed in federal court against the PUC.  The settlement is intended to restore Edison to creditworthiness so that it is able to resume procuring the electricity needed by its customers; limit ratepayers’ costs of paying off the debt; and maintain the state’s role in regulating the investor owned utility by enabling Edison to pay down its back debts over a reasonable, certain period of time.  The terms of the Settlement Agreement include:</w:t>
      </w:r>
    </w:p>
    <w:p>
      <w:pPr>
        <w:pStyle w:val="Normal"/>
        <w:widowControl w:val="false"/>
        <w:numPr>
          <w:ilvl w:val="0"/>
          <w:numId w:val="2"/>
        </w:numPr>
        <w:rPr>
          <w:u w:val="single"/>
        </w:rPr>
      </w:pPr>
      <w:r>
        <w:rPr/>
        <w:t>Edison will apply cash on hand, plus all of its revenue over recoverable costs, to paying off its back debt.  The PUC and Edison have agreed that the amount of the back debt to be recovered from ratepayers is the amount of certain outstanding debt Edison had at August 31, 2001, less the cash on hand on that date, less an additional $300 million adjustment.  The amount that will be paid down pursuant to the settlement agreement is estimated to be $3 billion as of the end of this month.  The parties believe that the amount to be paid by ratepayers will be much less than the cap.</w:t>
      </w:r>
    </w:p>
    <w:p>
      <w:pPr>
        <w:pStyle w:val="Normal"/>
        <w:widowControl w:val="false"/>
        <w:numPr>
          <w:ilvl w:val="0"/>
          <w:numId w:val="2"/>
        </w:numPr>
        <w:rPr>
          <w:u w:val="single"/>
        </w:rPr>
      </w:pPr>
      <w:r>
        <w:rPr/>
        <w:t>Edison will not pay any dividends on its common stock through 2003, or on the full payment of its debt, if sooner.  If Edison has not fully paid its back debt by the end of 2003, the Commission retains the discretion to determine whether Edison will pay a dividend in 2004.  Edison is free to resume paying dividends in 2005. Since Edison’s annual dividend has typically been about $400 million, Edison’s shareholders will have forgone at least $1.2 billion in dividends and possibly more, in addition to the $300 million adjustment.</w:t>
      </w:r>
    </w:p>
    <w:p>
      <w:pPr>
        <w:pStyle w:val="Normal"/>
        <w:widowControl w:val="false"/>
        <w:numPr>
          <w:ilvl w:val="0"/>
          <w:numId w:val="2"/>
        </w:numPr>
        <w:rPr>
          <w:u w:val="single"/>
        </w:rPr>
      </w:pPr>
      <w:r>
        <w:rPr/>
        <w:t>Edison will apply 100% of any recovery it obtains from refund proceedings at the Federal Energy Regulatory Commission or litigation against sellers to pay down the back debt.  Edison commits through court order to work with the PUC and the Attorney General in pursuing litigation against the energy sellers.</w:t>
      </w:r>
    </w:p>
    <w:p>
      <w:pPr>
        <w:pStyle w:val="Normal"/>
        <w:widowControl w:val="false"/>
        <w:numPr>
          <w:ilvl w:val="0"/>
          <w:numId w:val="2"/>
        </w:numPr>
        <w:rPr>
          <w:u w:val="single"/>
        </w:rPr>
      </w:pPr>
      <w:r>
        <w:rPr/>
        <w:t xml:space="preserve">The PUC can direct Edison to use $150 million each year for other utility purposes, including the provision of additional energy efficiency monies, which would otherwise be used to pay down the Edison debt. </w:t>
      </w:r>
    </w:p>
    <w:p>
      <w:pPr>
        <w:pStyle w:val="Normal"/>
        <w:widowControl w:val="false"/>
        <w:numPr>
          <w:ilvl w:val="0"/>
          <w:numId w:val="2"/>
        </w:numPr>
        <w:rPr>
          <w:u w:val="single"/>
        </w:rPr>
      </w:pPr>
      <w:r>
        <w:rPr/>
        <w:t>The PUC agrees not to lower Edison’s retail rates below their current level through the end of 2003 unless the back debts are recovered.  However, rates may be reduced as a result of a securitization of the debt or reduced DWR revenue needs.</w:t>
      </w:r>
    </w:p>
    <w:p>
      <w:pPr>
        <w:pStyle w:val="Normal"/>
        <w:widowControl w:val="false"/>
        <w:numPr>
          <w:ilvl w:val="0"/>
          <w:numId w:val="2"/>
        </w:numPr>
        <w:rPr>
          <w:u w:val="single"/>
        </w:rPr>
      </w:pPr>
      <w:r>
        <w:rPr/>
        <w:t xml:space="preserve">The PUC agrees to set rates not higher than the current rate, to enable Edison to recover the remaining amount of the back debt over 2004 and 2005 if Edison’s back debt has not been recovered by the end of 2003. </w:t>
      </w:r>
    </w:p>
    <w:p>
      <w:pPr>
        <w:pStyle w:val="Normal"/>
        <w:widowControl w:val="false"/>
        <w:numPr>
          <w:ilvl w:val="0"/>
          <w:numId w:val="2"/>
        </w:numPr>
        <w:rPr>
          <w:u w:val="single"/>
        </w:rPr>
      </w:pPr>
      <w:r>
        <w:rPr/>
        <w:t>There are no concessions of PUC or State regulations or regulatory authority over Edison, nor is there any deregulation of valuable transmission and generation facilities.</w:t>
      </w:r>
    </w:p>
    <w:p>
      <w:pPr>
        <w:pStyle w:val="Normal"/>
        <w:widowControl w:val="false"/>
        <w:numPr>
          <w:ilvl w:val="0"/>
          <w:numId w:val="2"/>
        </w:numPr>
        <w:rPr/>
      </w:pPr>
      <w:r>
        <w:rPr/>
        <w:t>Edison may make up to $900 million in capital expenditures annually.</w:t>
      </w:r>
    </w:p>
    <w:p>
      <w:pPr>
        <w:pStyle w:val="Normal"/>
        <w:widowControl w:val="false"/>
        <w:ind w:firstLine="360" w:end="0"/>
        <w:rPr/>
      </w:pPr>
      <w:r>
        <w:rPr/>
        <w:t>“</w:t>
      </w:r>
      <w:r>
        <w:rPr/>
        <w:t>This settlement embodies a fair and judicious way for Edison to become solvent and get back in the business of buying power, while meeting the needs of ratepayers and the state of California,” said Loretta Lynch, President of the PUC.  “The settlement also ensures that all of the benefits of any refunds arising through litigation against power generators and marketers that profited from unjust and unreasonable energy prices will benefit ratepayers.”</w:t>
      </w:r>
    </w:p>
    <w:p>
      <w:pPr>
        <w:pStyle w:val="ReleasePara"/>
        <w:outlineLvl w:val="9"/>
        <w:rPr/>
      </w:pPr>
      <w:r>
        <w:rPr/>
        <w:t>This agreement settles a November 2000 federal court lawsuit filed by Edison against the PUC, in which Edison claimed that the Commission’s actions in not providing sufficient retail rates, violated federal law and was an unconstitutional taking of its property.  Under this agreement, Edison will release the PUC from all claims in its lawsuit and will also withdraw any challenges to the Commission’s decisions implementing AB 1X, AB 6X, and the TURN accounting proposal.</w:t>
      </w:r>
    </w:p>
    <w:p>
      <w:pPr>
        <w:pStyle w:val="ReleasePara"/>
        <w:ind w:hanging="0" w:end="0"/>
        <w:rPr/>
      </w:pPr>
      <w:r>
        <w:rPr/>
      </w:r>
    </w:p>
    <w:p>
      <w:pPr>
        <w:pStyle w:val="ReleasePara"/>
        <w:jc w:val="center"/>
        <w:rPr/>
      </w:pPr>
      <w:r>
        <w:rPr/>
        <w:t># # #</w:t>
      </w:r>
    </w:p>
    <w:sectPr>
      <w:headerReference w:type="default" r:id="rId2"/>
      <w:headerReference w:type="first" r:id="rId3"/>
      <w:footerReference w:type="default" r:id="rId4"/>
      <w:footerReference w:type="first" r:id="rId5"/>
      <w:type w:val="nextPage"/>
      <w:pgSz w:w="12240" w:h="15840"/>
      <w:pgMar w:left="1440" w:right="1440" w:gutter="0" w:header="720" w:top="1440" w:footer="432" w:bottom="48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roman"/>
    <w:pitch w:val="variable"/>
  </w:font>
  <w:font w:name="Arial Rounded MT Bold">
    <w:charset w:val="00" w:characterSet="windows-1252"/>
    <w:family w:val="swiss"/>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534035"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534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2.05pt;height:13.95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ind w:hanging="0" w:end="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78" w:type="dxa"/>
      <w:jc w:val="start"/>
      <w:tblInd w:w="-252" w:type="dxa"/>
      <w:tblLayout w:type="fixed"/>
      <w:tblCellMar>
        <w:top w:w="0" w:type="dxa"/>
        <w:start w:w="108" w:type="dxa"/>
        <w:bottom w:w="0" w:type="dxa"/>
        <w:end w:w="108" w:type="dxa"/>
      </w:tblCellMar>
    </w:tblPr>
    <w:tblGrid>
      <w:gridCol w:w="2101"/>
      <w:gridCol w:w="7877"/>
    </w:tblGrid>
    <w:tr>
      <w:trPr>
        <w:trHeight w:val="608" w:hRule="atLeast"/>
      </w:trPr>
      <w:tc>
        <w:tcPr>
          <w:tcW w:w="2101" w:type="dxa"/>
          <w:vMerge w:val="restart"/>
          <w:tcBorders/>
        </w:tcPr>
        <w:p>
          <w:pPr>
            <w:pStyle w:val="Normal"/>
            <w:tabs>
              <w:tab w:val="clear" w:pos="720"/>
              <w:tab w:val="left" w:pos="1710" w:leader="none"/>
            </w:tabs>
            <w:ind w:hanging="0" w:end="0"/>
            <w:jc w:val="end"/>
            <w:rPr/>
          </w:pPr>
          <w:r>
            <w:rPr/>
            <w:drawing>
              <wp:inline distT="0" distB="0" distL="0" distR="0">
                <wp:extent cx="1036320" cy="101790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64" t="-65" r="-64" b="-65"/>
                        <a:stretch>
                          <a:fillRect/>
                        </a:stretch>
                      </pic:blipFill>
                      <pic:spPr bwMode="auto">
                        <a:xfrm>
                          <a:off x="0" y="0"/>
                          <a:ext cx="1036320" cy="1017905"/>
                        </a:xfrm>
                        <a:prstGeom prst="rect">
                          <a:avLst/>
                        </a:prstGeom>
                        <a:noFill/>
                      </pic:spPr>
                    </pic:pic>
                  </a:graphicData>
                </a:graphic>
              </wp:inline>
            </w:drawing>
          </w:r>
        </w:p>
      </w:tc>
      <w:tc>
        <w:tcPr>
          <w:tcW w:w="7877" w:type="dxa"/>
          <w:tcBorders/>
          <w:vAlign w:val="center"/>
        </w:tcPr>
        <w:p>
          <w:pPr>
            <w:pStyle w:val="Heading1"/>
            <w:pBdr>
              <w:top w:val="nil"/>
            </w:pBdr>
            <w:jc w:val="start"/>
            <w:rPr>
              <w:sz w:val="40"/>
            </w:rPr>
          </w:pPr>
          <w:r>
            <w:rPr>
              <w:sz w:val="40"/>
            </w:rPr>
            <w:t>California Public Utilities Commission</w:t>
          </w:r>
        </w:p>
      </w:tc>
    </w:tr>
    <w:tr>
      <w:trPr>
        <w:trHeight w:val="434" w:hRule="atLeast"/>
      </w:trPr>
      <w:tc>
        <w:tcPr>
          <w:tcW w:w="2101" w:type="dxa"/>
          <w:vMerge w:val="continue"/>
          <w:tcBorders/>
        </w:tcPr>
        <w:p>
          <w:pPr>
            <w:pStyle w:val="Normal"/>
            <w:tabs>
              <w:tab w:val="clear" w:pos="720"/>
              <w:tab w:val="left" w:pos="1710" w:leader="none"/>
            </w:tabs>
            <w:snapToGrid w:val="false"/>
            <w:ind w:hanging="0" w:end="0"/>
            <w:jc w:val="end"/>
            <w:rPr>
              <w:sz w:val="22"/>
            </w:rPr>
          </w:pPr>
          <w:r>
            <w:rPr>
              <w:sz w:val="22"/>
            </w:rPr>
          </w:r>
        </w:p>
      </w:tc>
      <w:tc>
        <w:tcPr>
          <w:tcW w:w="7877" w:type="dxa"/>
          <w:tcBorders/>
          <w:vAlign w:val="center"/>
        </w:tcPr>
        <w:p>
          <w:pPr>
            <w:pStyle w:val="Heading1"/>
            <w:pBdr>
              <w:top w:val="nil"/>
            </w:pBdr>
            <w:rPr>
              <w:sz w:val="22"/>
            </w:rPr>
          </w:pPr>
          <w:r>
            <w:rPr>
              <w:rFonts w:eastAsia="Arial Rounded MT Bold"/>
              <w:sz w:val="22"/>
            </w:rPr>
            <w:t xml:space="preserve">                               </w:t>
          </w:r>
          <w:r>
            <w:rPr>
              <w:sz w:val="22"/>
            </w:rPr>
            <w:t>505 Van Ness Avenue, San Francisco, CA 94102</w:t>
          </w:r>
        </w:p>
      </w:tc>
    </w:tr>
    <w:tr>
      <w:trPr>
        <w:trHeight w:val="557" w:hRule="atLeast"/>
      </w:trPr>
      <w:tc>
        <w:tcPr>
          <w:tcW w:w="2101" w:type="dxa"/>
          <w:vMerge w:val="continue"/>
          <w:tcBorders/>
        </w:tcPr>
        <w:p>
          <w:pPr>
            <w:pStyle w:val="Normal"/>
            <w:tabs>
              <w:tab w:val="clear" w:pos="720"/>
              <w:tab w:val="left" w:pos="1710" w:leader="none"/>
            </w:tabs>
            <w:snapToGrid w:val="false"/>
            <w:ind w:hanging="0" w:end="0"/>
            <w:jc w:val="end"/>
            <w:rPr/>
          </w:pPr>
          <w:r>
            <w:rPr/>
          </w:r>
        </w:p>
      </w:tc>
      <w:tc>
        <w:tcPr>
          <w:tcW w:w="7877" w:type="dxa"/>
          <w:tcBorders/>
          <w:vAlign w:val="center"/>
        </w:tcPr>
        <w:p>
          <w:pPr>
            <w:pStyle w:val="Heading2"/>
            <w:spacing w:lineRule="auto" w:line="240"/>
            <w:ind w:hanging="0" w:start="0" w:end="0"/>
            <w:jc w:val="center"/>
            <w:rPr>
              <w:rFonts w:ascii="Arial" w:hAnsi="Arial" w:cs="Arial"/>
              <w:caps w:val="false"/>
              <w:smallCaps w:val="false"/>
            </w:rPr>
          </w:pPr>
          <w:r>
            <w:rPr>
              <w:rFonts w:eastAsia="Arial" w:cs="Arial" w:ascii="Arial" w:hAnsi="Arial"/>
              <w:caps w:val="false"/>
              <w:smallCaps w:val="false"/>
            </w:rPr>
            <w:t xml:space="preserve">                              </w:t>
          </w:r>
          <w:r>
            <w:rPr>
              <w:rFonts w:cs="Arial" w:ascii="Arial" w:hAnsi="Arial"/>
              <w:caps w:val="false"/>
              <w:smallCaps w:val="false"/>
            </w:rPr>
            <w:t>News Advisory</w:t>
          </w:r>
        </w:p>
      </w:tc>
    </w:tr>
    <w:tr>
      <w:trPr>
        <w:trHeight w:val="557" w:hRule="atLeast"/>
      </w:trPr>
      <w:tc>
        <w:tcPr>
          <w:tcW w:w="2101" w:type="dxa"/>
          <w:tcBorders/>
        </w:tcPr>
        <w:p>
          <w:pPr>
            <w:pStyle w:val="Normal"/>
            <w:tabs>
              <w:tab w:val="clear" w:pos="720"/>
              <w:tab w:val="left" w:pos="1710" w:leader="none"/>
            </w:tabs>
            <w:snapToGrid w:val="false"/>
            <w:ind w:hanging="0" w:end="0"/>
            <w:jc w:val="end"/>
            <w:rPr>
              <w:rFonts w:ascii="Arial" w:hAnsi="Arial" w:cs="Arial"/>
              <w:caps w:val="false"/>
              <w:smallCaps w:val="false"/>
            </w:rPr>
          </w:pPr>
          <w:r>
            <w:rPr>
              <w:rFonts w:cs="Arial" w:ascii="Arial" w:hAnsi="Arial"/>
              <w:caps w:val="false"/>
              <w:smallCaps w:val="false"/>
            </w:rPr>
          </w:r>
        </w:p>
      </w:tc>
      <w:tc>
        <w:tcPr>
          <w:tcW w:w="7877" w:type="dxa"/>
          <w:tcBorders/>
          <w:vAlign w:val="center"/>
        </w:tcPr>
        <w:p>
          <w:pPr>
            <w:pStyle w:val="Heading2"/>
            <w:snapToGrid w:val="false"/>
            <w:spacing w:lineRule="auto" w:line="240"/>
            <w:ind w:hanging="0" w:start="0" w:end="0"/>
            <w:jc w:val="center"/>
            <w:rPr>
              <w:rFonts w:ascii="Arial" w:hAnsi="Arial" w:cs="Arial"/>
              <w:caps w:val="false"/>
              <w:smallCaps w:val="false"/>
            </w:rPr>
          </w:pPr>
          <w:r>
            <w:rPr>
              <w:rFonts w:cs="Arial" w:ascii="Arial" w:hAnsi="Arial"/>
              <w:caps w:val="false"/>
              <w:smallCaps w:val="false"/>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ind w:firstLine="720" w:start="0" w:end="0"/>
    </w:pPr>
    <w:rPr>
      <w:rFonts w:ascii="Bookman;Bookman Old Style" w:hAnsi="Bookman;Bookman Old Style" w:eastAsia="Times New Roman" w:cs="Bookman;Bookman Old Style"/>
      <w:color w:val="auto"/>
      <w:sz w:val="24"/>
      <w:szCs w:val="20"/>
      <w:lang w:val="en-US" w:bidi="ar-SA" w:eastAsia="zh-CN"/>
    </w:rPr>
  </w:style>
  <w:style w:type="paragraph" w:styleId="Heading1">
    <w:name w:val="heading 1"/>
    <w:basedOn w:val="Normal"/>
    <w:next w:val="Normal"/>
    <w:qFormat/>
    <w:pPr>
      <w:keepNext w:val="true"/>
      <w:numPr>
        <w:ilvl w:val="0"/>
        <w:numId w:val="1"/>
      </w:numPr>
      <w:pBdr>
        <w:top w:val="single" w:sz="6" w:space="1" w:color="000000"/>
      </w:pBdr>
      <w:spacing w:lineRule="auto" w:line="240"/>
      <w:ind w:hanging="0" w:start="0" w:end="0"/>
      <w:jc w:val="center"/>
      <w:outlineLvl w:val="0"/>
    </w:pPr>
    <w:rPr>
      <w:rFonts w:ascii="Arial Rounded MT Bold" w:hAnsi="Arial Rounded MT Bold" w:cs="Arial Rounded MT Bold"/>
      <w:sz w:val="44"/>
    </w:rPr>
  </w:style>
  <w:style w:type="paragraph" w:styleId="Heading2">
    <w:name w:val="heading 2"/>
    <w:basedOn w:val="Normal"/>
    <w:next w:val="Normal"/>
    <w:qFormat/>
    <w:pPr>
      <w:keepNext w:val="true"/>
      <w:numPr>
        <w:ilvl w:val="1"/>
        <w:numId w:val="1"/>
      </w:numPr>
      <w:jc w:val="end"/>
      <w:outlineLvl w:val="1"/>
    </w:pPr>
    <w:rPr>
      <w:rFonts w:ascii="Arial Black" w:hAnsi="Arial Black" w:cs="Arial Black"/>
      <w:smallCaps/>
      <w:sz w:val="4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leaseDate">
    <w:name w:val="ReleaseDate"/>
    <w:basedOn w:val="Normal"/>
    <w:qFormat/>
    <w:pPr>
      <w:tabs>
        <w:tab w:val="clear" w:pos="720"/>
        <w:tab w:val="left" w:pos="2880" w:leader="none"/>
      </w:tabs>
      <w:spacing w:lineRule="auto" w:line="240"/>
      <w:ind w:hanging="18" w:start="0" w:end="0"/>
      <w:jc w:val="end"/>
    </w:pPr>
    <w:rPr>
      <w:sz w:val="20"/>
    </w:rPr>
  </w:style>
  <w:style w:type="paragraph" w:styleId="ReleaseHead">
    <w:name w:val="ReleaseHead"/>
    <w:basedOn w:val="Normal"/>
    <w:qFormat/>
    <w:pPr>
      <w:spacing w:lineRule="auto" w:line="240" w:before="0" w:after="180"/>
      <w:ind w:hanging="0" w:start="0" w:end="0"/>
      <w:jc w:val="center"/>
      <w:outlineLvl w:val="0"/>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affName">
    <w:name w:val="StaffName"/>
    <w:basedOn w:val="ReleaseDate"/>
    <w:next w:val="ReleaseHead"/>
    <w:qFormat/>
    <w:pPr>
      <w:tabs>
        <w:tab w:val="left" w:pos="2880" w:leader="none"/>
        <w:tab w:val="left" w:pos="3870" w:leader="none"/>
      </w:tabs>
      <w:spacing w:lineRule="auto" w:line="240"/>
      <w:ind w:hanging="0" w:start="0" w:end="0"/>
    </w:pPr>
    <w:rPr>
      <w:sz w:val="22"/>
    </w:rPr>
  </w:style>
  <w:style w:type="paragraph" w:styleId="ReleaseNo">
    <w:name w:val="Release No."/>
    <w:basedOn w:val="ReleaseDate"/>
    <w:qFormat/>
    <w:pPr/>
    <w:rPr/>
  </w:style>
  <w:style w:type="paragraph" w:styleId="contactname">
    <w:name w:val="contactname"/>
    <w:basedOn w:val="ReleaseDate"/>
    <w:qFormat/>
    <w:pPr/>
    <w:rPr>
      <w:sz w:val="20"/>
    </w:rPr>
  </w:style>
  <w:style w:type="paragraph" w:styleId="contactphone">
    <w:name w:val="contactphone"/>
    <w:basedOn w:val="ReleaseDate"/>
    <w:qFormat/>
    <w:pPr/>
    <w:rPr/>
  </w:style>
  <w:style w:type="paragraph" w:styleId="contacthdr">
    <w:name w:val="contacthdr"/>
    <w:basedOn w:val="ReleaseDate"/>
    <w:qFormat/>
    <w:pPr/>
    <w:rPr>
      <w:b/>
    </w:rPr>
  </w:style>
  <w:style w:type="paragraph" w:styleId="numberPrefix">
    <w:name w:val="numberPrefix"/>
    <w:basedOn w:val="ReleaseNo"/>
    <w:qFormat/>
    <w:pPr/>
    <w:rPr>
      <w:b/>
    </w:rPr>
  </w:style>
  <w:style w:type="paragraph" w:styleId="TableofAuthorities">
    <w:name w:val="Table of Authorities"/>
    <w:basedOn w:val="Normal"/>
    <w:next w:val="Normal"/>
    <w:qFormat/>
    <w:pPr>
      <w:ind w:hanging="240" w:start="240" w:end="0"/>
    </w:pPr>
    <w:rPr/>
  </w:style>
  <w:style w:type="paragraph" w:styleId="ReleasePara">
    <w:name w:val="ReleasePara"/>
    <w:basedOn w:val="ReleaseHead"/>
    <w:qFormat/>
    <w:pPr>
      <w:spacing w:lineRule="auto" w:line="360" w:before="0" w:after="0"/>
      <w:ind w:firstLine="720" w:start="0" w:end="0"/>
      <w:jc w:val="start"/>
    </w:pPr>
    <w:rPr>
      <w:b w:val="false"/>
      <w:caps w:val="false"/>
      <w:smallCaps w:val="false"/>
      <w:sz w:val="22"/>
    </w:rPr>
  </w:style>
  <w:style w:type="paragraph" w:styleId="Thirty">
    <w:name w:val="Thirty"/>
    <w:basedOn w:val="ReleasePara"/>
    <w:qFormat/>
    <w:pPr>
      <w:spacing w:lineRule="auto" w:line="240" w:before="120" w:after="0"/>
      <w:ind w:hanging="0" w:start="0" w:end="0"/>
      <w:jc w:val="center"/>
    </w:pPr>
    <w:rPr/>
  </w:style>
  <w:style w:type="paragraph" w:styleId="BodyTextIndent">
    <w:name w:val="Body Text Indent"/>
    <w:basedOn w:val="Normal"/>
    <w:pPr/>
    <w:rPr/>
  </w:style>
  <w:style w:type="paragraph" w:styleId="BodyText2">
    <w:name w:val="Body Text 2"/>
    <w:basedOn w:val="Normal"/>
    <w:qFormat/>
    <w:pPr>
      <w:ind w:hanging="0" w:start="0" w:end="0"/>
    </w:pPr>
    <w:rPr>
      <w:rFonts w:ascii="Times New Roman" w:hAnsi="Times New Roman" w:cs="Times New Roman"/>
    </w:rPr>
  </w:style>
  <w:style w:type="paragraph" w:styleId="BodyText3">
    <w:name w:val="Body Text 3"/>
    <w:basedOn w:val="Normal"/>
    <w:qFormat/>
    <w:pPr>
      <w:ind w:hanging="0" w:start="0" w:end="0"/>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Release template for webpub format.dot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2001-10-02T18:16:00Z</dcterms:created>
  <dc:creator>Armando Rendon</dc:creator>
  <dc:description/>
  <dc:language>en-CA</dc:language>
  <cp:lastModifiedBy>Armando Rendon</cp:lastModifiedBy>
  <cp:lastPrinted>2001-10-02T13:21:00Z</cp:lastPrinted>
  <dcterms:modified xsi:type="dcterms:W3CDTF">2001-10-02T18:16:00Z</dcterms:modified>
  <cp:revision>2</cp:revision>
  <dc:subject/>
  <dc:title> </dc:title>
</cp:coreProperties>
</file>