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jc w:val="both"/>
        <w:rPr>
          <w:rFonts w:ascii="Times New Roman" w:hAnsi="Times New Roman"/>
          <w:b/>
        </w:rPr>
      </w:pPr>
      <w:bookmarkStart w:id="0" w:name="_DV_M0"/>
      <w:bookmarkEnd w:id="0"/>
      <w:r>
        <w:rPr>
          <w:b/>
        </w:rPr>
        <w:t>SETTLEMENT, ASSIGNMENT AND ASSUMPTION AGREEMENT</w:t>
      </w:r>
    </w:p>
    <w:p>
      <w:pPr>
        <w:pStyle w:val="BodyText"/>
        <w:bidi w:val="0"/>
        <w:jc w:val="both"/>
        <w:rPr>
          <w:rFonts w:ascii="Times New Roman" w:hAnsi="Times New Roman"/>
        </w:rPr>
      </w:pPr>
      <w:bookmarkStart w:id="1" w:name="_DV_M1"/>
      <w:bookmarkEnd w:id="1"/>
      <w:r>
        <w:rPr/>
        <w:t xml:space="preserve">This Settlement, Assignment and Assumption Agreement, dated as of December __, 2000 (this "Agreement"), is by and among ENRON POWER MARKETING, INC. ("EPMI"), PG&amp;E Energy Trading – Power, L.P. ("PGET") and AVISTA ENERGY, INC.               </w:t>
      </w:r>
      <w:bookmarkStart w:id="2" w:name="_DV_M2"/>
      <w:bookmarkEnd w:id="2"/>
      <w:r>
        <w:rPr/>
        <w:t xml:space="preserve">("AVISTA"), and each a "Party" and collectively the "Parties".  </w:t>
      </w:r>
    </w:p>
    <w:p>
      <w:pPr>
        <w:pStyle w:val="BodyText"/>
        <w:bidi w:val="0"/>
        <w:ind w:hanging="0"/>
        <w:jc w:val="center"/>
        <w:rPr>
          <w:rFonts w:ascii="Times New Roman" w:hAnsi="Times New Roman"/>
          <w:b/>
        </w:rPr>
      </w:pPr>
      <w:bookmarkStart w:id="3" w:name="_DV_M3"/>
      <w:bookmarkEnd w:id="3"/>
      <w:r>
        <w:rPr>
          <w:b/>
        </w:rPr>
        <w:t>W I T N E S S E T H</w:t>
      </w:r>
    </w:p>
    <w:p>
      <w:pPr>
        <w:pStyle w:val="BodyText"/>
        <w:bidi w:val="0"/>
        <w:jc w:val="both"/>
        <w:rPr>
          <w:rFonts w:ascii="Times New Roman" w:hAnsi="Times New Roman"/>
          <w:color w:val="000000"/>
        </w:rPr>
      </w:pPr>
      <w:bookmarkStart w:id="4" w:name="_DV_M4"/>
      <w:bookmarkEnd w:id="4"/>
      <w:r>
        <w:rPr/>
        <w:t>WHEREAS,</w:t>
      </w:r>
      <w:r>
        <w:rPr>
          <w:b/>
        </w:rPr>
        <w:t xml:space="preserve"> </w:t>
      </w:r>
      <w:r>
        <w:rPr/>
        <w:t>PGET has entered into a Master Agreement dated _____ with Enron Energy Marketing Corp. (</w:t>
      </w:r>
      <w:bookmarkStart w:id="5" w:name="_DV_M5"/>
      <w:r>
        <w:rPr>
          <w:rStyle w:val="DeltaViewInsertion"/>
        </w:rPr>
        <w:t>formerly known as PG&amp;E Energy Services, [Inc.]) (</w:t>
      </w:r>
      <w:bookmarkStart w:id="6" w:name="_DV_C3"/>
      <w:bookmarkEnd w:id="5"/>
      <w:bookmarkEnd w:id="6"/>
      <w:r>
        <w:rPr>
          <w:color w:val="000000"/>
        </w:rPr>
        <w:t xml:space="preserve">"EEMC"), pursuant to which PGET </w:t>
      </w:r>
      <w:bookmarkStart w:id="7" w:name="_DV_C5"/>
      <w:r>
        <w:rPr>
          <w:rStyle w:val="DeltaViewDeletion"/>
        </w:rPr>
        <w:t>has</w:t>
      </w:r>
      <w:bookmarkStart w:id="8" w:name="_DV_C4"/>
      <w:bookmarkEnd w:id="7"/>
      <w:r>
        <w:rPr>
          <w:rStyle w:val="DeltaViewInsertion"/>
        </w:rPr>
        <w:t>and EEMC have</w:t>
      </w:r>
      <w:bookmarkStart w:id="9" w:name="_DV_C5_Copy_1"/>
      <w:bookmarkEnd w:id="8"/>
      <w:bookmarkEnd w:id="9"/>
      <w:r>
        <w:rPr>
          <w:color w:val="000000"/>
        </w:rPr>
        <w:t xml:space="preserve"> entered into </w:t>
      </w:r>
      <w:bookmarkStart w:id="10" w:name="_DV_C7"/>
      <w:r>
        <w:rPr>
          <w:rStyle w:val="DeltaViewDeletion"/>
        </w:rPr>
        <w:t>multiple</w:t>
      </w:r>
      <w:bookmarkStart w:id="11" w:name="_DV_C6"/>
      <w:bookmarkEnd w:id="10"/>
      <w:r>
        <w:rPr>
          <w:rStyle w:val="DeltaViewInsertion"/>
        </w:rPr>
        <w:t>the two</w:t>
      </w:r>
      <w:bookmarkStart w:id="12" w:name="_DV_C7_Copy_1"/>
      <w:bookmarkEnd w:id="11"/>
      <w:bookmarkEnd w:id="12"/>
      <w:r>
        <w:rPr>
          <w:color w:val="000000"/>
        </w:rPr>
        <w:t xml:space="preserve"> power sale transactions</w:t>
      </w:r>
      <w:bookmarkStart w:id="13" w:name="_DV_C9"/>
      <w:r>
        <w:rPr>
          <w:rStyle w:val="DeltaViewDeletion"/>
        </w:rPr>
        <w:t>, a list of which transactions is set forth in</w:t>
      </w:r>
      <w:bookmarkStart w:id="14" w:name="_DV_C8"/>
      <w:bookmarkEnd w:id="13"/>
      <w:r>
        <w:rPr>
          <w:rStyle w:val="DeltaViewInsertion"/>
        </w:rPr>
        <w:t xml:space="preserve"> listed on</w:t>
      </w:r>
      <w:bookmarkStart w:id="15" w:name="_DV_C9_Copy_1"/>
      <w:bookmarkEnd w:id="14"/>
      <w:bookmarkEnd w:id="15"/>
      <w:r>
        <w:rPr>
          <w:color w:val="000000"/>
        </w:rPr>
        <w:t xml:space="preserve"> </w:t>
      </w:r>
      <w:r>
        <w:rPr>
          <w:color w:val="000000"/>
          <w:u w:val="single"/>
        </w:rPr>
        <w:t>Exhibit A</w:t>
      </w:r>
      <w:r>
        <w:rPr>
          <w:color w:val="000000"/>
        </w:rPr>
        <w:t xml:space="preserve">, whereby PGET is obligated to sell and deliver </w:t>
      </w:r>
      <w:bookmarkStart w:id="16" w:name="_DV_M9"/>
      <w:r>
        <w:rPr>
          <w:rStyle w:val="DeltaViewInsertion"/>
        </w:rPr>
        <w:t xml:space="preserve">and EEMC is obligated to purchase and accept </w:t>
      </w:r>
      <w:bookmarkStart w:id="17" w:name="_DV_C10"/>
      <w:bookmarkEnd w:id="16"/>
      <w:bookmarkEnd w:id="17"/>
      <w:r>
        <w:rPr>
          <w:color w:val="000000"/>
        </w:rPr>
        <w:t>certain specified amounts of power at certain specified times</w:t>
      </w:r>
      <w:bookmarkStart w:id="18" w:name="_DV_M10"/>
      <w:r>
        <w:rPr>
          <w:rStyle w:val="DeltaViewDeletion"/>
        </w:rPr>
        <w:t xml:space="preserve"> to EEMC</w:t>
      </w:r>
      <w:bookmarkStart w:id="19" w:name="_DV_C11"/>
      <w:bookmarkEnd w:id="18"/>
      <w:bookmarkEnd w:id="19"/>
      <w:r>
        <w:rPr>
          <w:color w:val="000000"/>
        </w:rPr>
        <w:t>;</w:t>
      </w:r>
    </w:p>
    <w:p>
      <w:pPr>
        <w:pStyle w:val="BodyText"/>
        <w:bidi w:val="0"/>
        <w:jc w:val="both"/>
        <w:rPr>
          <w:rFonts w:ascii="Times New Roman" w:hAnsi="Times New Roman"/>
          <w:color w:val="000000"/>
        </w:rPr>
      </w:pPr>
      <w:bookmarkStart w:id="20" w:name="_DV_M11"/>
      <w:bookmarkEnd w:id="20"/>
      <w:r>
        <w:rPr>
          <w:color w:val="000000"/>
        </w:rPr>
        <w:t>WHEREAS, the foregoing Master Agreement and the transactions thereunder between PGET and EEMC have been assigned to EPMI pursuant to an Assignment and Assumption Agreement dated as of December [  ], 2000;</w:t>
      </w:r>
    </w:p>
    <w:p>
      <w:pPr>
        <w:pStyle w:val="BodyText"/>
        <w:bidi w:val="0"/>
        <w:jc w:val="both"/>
        <w:rPr>
          <w:rFonts w:ascii="Times New Roman" w:hAnsi="Times New Roman"/>
          <w:color w:val="000000"/>
        </w:rPr>
      </w:pPr>
      <w:bookmarkStart w:id="21" w:name="_DV_M12"/>
      <w:bookmarkEnd w:id="21"/>
      <w:r>
        <w:rPr>
          <w:color w:val="000000"/>
        </w:rPr>
        <w:t xml:space="preserve">WHEREAS, for purposes of this Agreement, the foregoing Master Agreement between PGET and EEMC, as assigned to EPMI, shall be referred to herein as the "PGET/EPMI Agreement" and </w:t>
      </w:r>
      <w:bookmarkStart w:id="22" w:name="_DV_M13"/>
      <w:r>
        <w:rPr>
          <w:rStyle w:val="DeltaViewDeletion"/>
        </w:rPr>
        <w:t xml:space="preserve">certain of </w:t>
      </w:r>
      <w:bookmarkStart w:id="23" w:name="_DV_C12"/>
      <w:bookmarkEnd w:id="22"/>
      <w:bookmarkEnd w:id="23"/>
      <w:r>
        <w:rPr>
          <w:color w:val="000000"/>
        </w:rPr>
        <w:t>the</w:t>
      </w:r>
      <w:bookmarkStart w:id="24" w:name="_DV_M14"/>
      <w:r>
        <w:rPr>
          <w:rStyle w:val="DeltaViewInsertion"/>
        </w:rPr>
        <w:t xml:space="preserve"> two</w:t>
      </w:r>
      <w:bookmarkStart w:id="25" w:name="_DV_C13"/>
      <w:bookmarkEnd w:id="24"/>
      <w:bookmarkEnd w:id="25"/>
      <w:r>
        <w:rPr>
          <w:color w:val="000000"/>
        </w:rPr>
        <w:t xml:space="preserve"> transactions </w:t>
      </w:r>
      <w:bookmarkStart w:id="26" w:name="_DV_C15"/>
      <w:r>
        <w:rPr>
          <w:rStyle w:val="DeltaViewDeletion"/>
        </w:rPr>
        <w:t>under the PGET/EPMI Agreement,</w:t>
      </w:r>
      <w:bookmarkStart w:id="27" w:name="_DV_C14"/>
      <w:bookmarkEnd w:id="26"/>
      <w:r>
        <w:rPr>
          <w:rStyle w:val="DeltaViewInsertion"/>
        </w:rPr>
        <w:t>set forth</w:t>
      </w:r>
      <w:bookmarkStart w:id="28" w:name="_DV_C15_Copy_1"/>
      <w:bookmarkEnd w:id="27"/>
      <w:bookmarkEnd w:id="28"/>
      <w:r>
        <w:rPr>
          <w:color w:val="000000"/>
        </w:rPr>
        <w:t xml:space="preserve"> as </w:t>
      </w:r>
      <w:bookmarkStart w:id="29" w:name="_DV_C17"/>
      <w:r>
        <w:rPr>
          <w:rStyle w:val="DeltaViewDeletion"/>
        </w:rPr>
        <w:t>more specifically identified</w:t>
      </w:r>
      <w:bookmarkStart w:id="30" w:name="_DV_C16"/>
      <w:bookmarkEnd w:id="29"/>
      <w:r>
        <w:rPr>
          <w:rStyle w:val="DeltaViewInsertion"/>
        </w:rPr>
        <w:t>Items 1 and 2</w:t>
      </w:r>
      <w:bookmarkStart w:id="31" w:name="_DV_C17_Copy_1"/>
      <w:bookmarkEnd w:id="30"/>
      <w:bookmarkEnd w:id="31"/>
      <w:r>
        <w:rPr>
          <w:color w:val="000000"/>
        </w:rPr>
        <w:t xml:space="preserve"> on </w:t>
      </w:r>
      <w:r>
        <w:rPr>
          <w:color w:val="000000"/>
          <w:u w:val="single"/>
        </w:rPr>
        <w:t>Exhibit A</w:t>
      </w:r>
      <w:r>
        <w:rPr>
          <w:color w:val="000000"/>
        </w:rPr>
        <w:t xml:space="preserve"> hereof, shall be referred to herein as </w:t>
      </w:r>
      <w:bookmarkStart w:id="32" w:name="_DV_M17"/>
      <w:r>
        <w:rPr>
          <w:rStyle w:val="DeltaViewInsertion"/>
        </w:rPr>
        <w:t xml:space="preserve">"EPMI Transaction 1" (but only to the extent of 50 MWh/h as further described below) and "EPMI Transaction 2," respectively, and collectively, as </w:t>
      </w:r>
      <w:bookmarkStart w:id="33" w:name="_DV_C18"/>
      <w:bookmarkEnd w:id="32"/>
      <w:bookmarkEnd w:id="33"/>
      <w:r>
        <w:rPr>
          <w:color w:val="000000"/>
        </w:rPr>
        <w:t>the "EPMI Purchase Transactions";</w:t>
      </w:r>
    </w:p>
    <w:p>
      <w:pPr>
        <w:pStyle w:val="BodyText"/>
        <w:bidi w:val="0"/>
        <w:jc w:val="both"/>
        <w:rPr>
          <w:rFonts w:ascii="Times New Roman" w:hAnsi="Times New Roman"/>
          <w:color w:val="000000"/>
        </w:rPr>
      </w:pPr>
      <w:bookmarkStart w:id="34" w:name="_DV_M18"/>
      <w:bookmarkEnd w:id="34"/>
      <w:r>
        <w:rPr>
          <w:color w:val="000000"/>
        </w:rPr>
        <w:t>WHEREAS, pursuant to the PGET/EPMI Agreement, EPMI has the right to call</w:t>
      </w:r>
      <w:bookmarkStart w:id="35" w:name="_DV_M19"/>
      <w:r>
        <w:rPr>
          <w:rStyle w:val="DeltaViewDeletion"/>
        </w:rPr>
        <w:t>, and has called</w:t>
      </w:r>
      <w:bookmarkStart w:id="36" w:name="_DV_C19"/>
      <w:bookmarkEnd w:id="35"/>
      <w:bookmarkEnd w:id="36"/>
      <w:r>
        <w:rPr>
          <w:color w:val="000000"/>
        </w:rPr>
        <w:t xml:space="preserve"> for</w:t>
      </w:r>
      <w:bookmarkStart w:id="37" w:name="_DV_M20"/>
      <w:r>
        <w:rPr>
          <w:rStyle w:val="DeltaViewDeletion"/>
        </w:rPr>
        <w:t>,</w:t>
      </w:r>
      <w:bookmarkStart w:id="38" w:name="_DV_C20"/>
      <w:bookmarkEnd w:id="37"/>
      <w:bookmarkEnd w:id="38"/>
      <w:r>
        <w:rPr>
          <w:color w:val="000000"/>
        </w:rPr>
        <w:t xml:space="preserve"> the posting of certain collateral by PGET in order to secure PGET's obligations thereunder</w:t>
      </w:r>
      <w:bookmarkStart w:id="39" w:name="_DV_M21"/>
      <w:r>
        <w:rPr>
          <w:rStyle w:val="DeltaViewInsertion"/>
        </w:rPr>
        <w:t>, as and to the extent permitted under the PGET/EPMI Agreement and the EPMI Transactions</w:t>
      </w:r>
      <w:bookmarkStart w:id="40" w:name="_DV_C21"/>
      <w:bookmarkEnd w:id="39"/>
      <w:bookmarkEnd w:id="40"/>
      <w:r>
        <w:rPr>
          <w:color w:val="000000"/>
        </w:rPr>
        <w:t>;</w:t>
      </w:r>
    </w:p>
    <w:p>
      <w:pPr>
        <w:pStyle w:val="BodyText"/>
        <w:bidi w:val="0"/>
        <w:jc w:val="both"/>
        <w:rPr>
          <w:rFonts w:ascii="Times New Roman" w:hAnsi="Times New Roman"/>
          <w:color w:val="000000"/>
        </w:rPr>
      </w:pPr>
      <w:bookmarkStart w:id="41" w:name="_DV_M22"/>
      <w:bookmarkEnd w:id="41"/>
      <w:r>
        <w:rPr>
          <w:color w:val="000000"/>
        </w:rPr>
        <w:t xml:space="preserve">WHEREAS, PGET </w:t>
      </w:r>
      <w:bookmarkStart w:id="42" w:name="_DV_C23"/>
      <w:r>
        <w:rPr>
          <w:rStyle w:val="DeltaViewDeletion"/>
        </w:rPr>
        <w:t>has informed</w:t>
      </w:r>
      <w:bookmarkStart w:id="43" w:name="_DV_C22"/>
      <w:bookmarkEnd w:id="42"/>
      <w:r>
        <w:rPr>
          <w:rStyle w:val="DeltaViewInsertion"/>
        </w:rPr>
        <w:t>and</w:t>
      </w:r>
      <w:bookmarkStart w:id="44" w:name="_DV_C23_Copy_1"/>
      <w:bookmarkEnd w:id="43"/>
      <w:bookmarkEnd w:id="44"/>
      <w:r>
        <w:rPr>
          <w:color w:val="000000"/>
        </w:rPr>
        <w:t xml:space="preserve"> EPMI</w:t>
      </w:r>
      <w:bookmarkStart w:id="45" w:name="_DV_M24"/>
      <w:r>
        <w:rPr>
          <w:rStyle w:val="DeltaViewInsertion"/>
        </w:rPr>
        <w:t xml:space="preserve"> are desirous of identifying a means to avoid, to the extent possible, circumstances</w:t>
      </w:r>
      <w:bookmarkStart w:id="46" w:name="_DV_C24"/>
      <w:bookmarkEnd w:id="45"/>
      <w:bookmarkEnd w:id="46"/>
      <w:r>
        <w:rPr>
          <w:color w:val="000000"/>
        </w:rPr>
        <w:t xml:space="preserve"> that </w:t>
      </w:r>
      <w:bookmarkStart w:id="47" w:name="_DV_C26"/>
      <w:r>
        <w:rPr>
          <w:rStyle w:val="DeltaViewDeletion"/>
        </w:rPr>
        <w:t>PGET will not be able to post such collateral, thereby</w:t>
      </w:r>
      <w:bookmarkStart w:id="48" w:name="_DV_C25"/>
      <w:bookmarkEnd w:id="47"/>
      <w:r>
        <w:rPr>
          <w:rStyle w:val="DeltaViewInsertion"/>
        </w:rPr>
        <w:t>could</w:t>
      </w:r>
      <w:bookmarkStart w:id="49" w:name="_DV_C26_Copy_1"/>
      <w:bookmarkEnd w:id="48"/>
      <w:bookmarkEnd w:id="49"/>
      <w:r>
        <w:rPr>
          <w:color w:val="000000"/>
        </w:rPr>
        <w:t xml:space="preserve"> potentially </w:t>
      </w:r>
      <w:bookmarkStart w:id="50" w:name="_DV_C28"/>
      <w:r>
        <w:rPr>
          <w:rStyle w:val="DeltaViewDeletion"/>
        </w:rPr>
        <w:t>triggering a right of EPMI to effect</w:t>
      </w:r>
      <w:bookmarkStart w:id="51" w:name="_DV_C27"/>
      <w:bookmarkEnd w:id="50"/>
      <w:r>
        <w:rPr>
          <w:rStyle w:val="DeltaViewInsertion"/>
        </w:rPr>
        <w:t>trigger</w:t>
      </w:r>
      <w:bookmarkStart w:id="52" w:name="_DV_C28_Copy_1"/>
      <w:bookmarkEnd w:id="51"/>
      <w:bookmarkEnd w:id="52"/>
      <w:r>
        <w:rPr>
          <w:color w:val="000000"/>
        </w:rPr>
        <w:t xml:space="preserve"> a termination of the EPMI Purchase Transactions</w:t>
      </w:r>
      <w:bookmarkStart w:id="53" w:name="_DV_M27"/>
      <w:r>
        <w:rPr>
          <w:rStyle w:val="DeltaViewInsertion"/>
        </w:rPr>
        <w:t xml:space="preserve"> by managing their respective power trading positions</w:t>
      </w:r>
      <w:bookmarkStart w:id="54" w:name="_DV_C29"/>
      <w:bookmarkEnd w:id="53"/>
      <w:bookmarkEnd w:id="54"/>
      <w:r>
        <w:rPr>
          <w:color w:val="000000"/>
        </w:rPr>
        <w:t>;</w:t>
      </w:r>
    </w:p>
    <w:p>
      <w:pPr>
        <w:pStyle w:val="BodyText"/>
        <w:bidi w:val="0"/>
        <w:jc w:val="both"/>
        <w:rPr>
          <w:rFonts w:ascii="Times New Roman" w:hAnsi="Times New Roman"/>
          <w:color w:val="000000"/>
        </w:rPr>
      </w:pPr>
      <w:bookmarkStart w:id="55" w:name="_DV_M28"/>
      <w:bookmarkEnd w:id="55"/>
      <w:r>
        <w:rPr>
          <w:color w:val="000000"/>
        </w:rPr>
        <w:t>WHEREAS,</w:t>
      </w:r>
      <w:r>
        <w:rPr>
          <w:b/>
          <w:color w:val="000000"/>
        </w:rPr>
        <w:t xml:space="preserve"> </w:t>
      </w:r>
      <w:r>
        <w:rPr>
          <w:color w:val="000000"/>
        </w:rPr>
        <w:t xml:space="preserve">PGET has entered into </w:t>
      </w:r>
      <w:bookmarkStart w:id="56" w:name="_DV_C31"/>
      <w:r>
        <w:rPr>
          <w:rStyle w:val="DeltaViewDeletion"/>
        </w:rPr>
        <w:t>a Master Agreement dated _____ with AVISTA</w:t>
      </w:r>
      <w:bookmarkStart w:id="57" w:name="_DV_C30"/>
      <w:bookmarkEnd w:id="56"/>
      <w:r>
        <w:rPr>
          <w:rStyle w:val="DeltaViewInsertion"/>
        </w:rPr>
        <w:t>two transactions</w:t>
      </w:r>
      <w:bookmarkStart w:id="58" w:name="_DV_C31_Copy_1"/>
      <w:bookmarkEnd w:id="57"/>
      <w:bookmarkEnd w:id="58"/>
      <w:r>
        <w:rPr>
          <w:color w:val="000000"/>
        </w:rPr>
        <w:t xml:space="preserve"> pursuant to </w:t>
      </w:r>
      <w:bookmarkStart w:id="59" w:name="_DV_C33"/>
      <w:r>
        <w:rPr>
          <w:rStyle w:val="DeltaViewDeletion"/>
        </w:rPr>
        <w:t>which AVISTA has entered into multiple transactions, a list of which transactions is set forth in</w:t>
      </w:r>
      <w:bookmarkStart w:id="60" w:name="_DV_C32"/>
      <w:bookmarkEnd w:id="59"/>
      <w:r>
        <w:rPr>
          <w:rStyle w:val="DeltaViewInsertion"/>
        </w:rPr>
        <w:t>the Western Systems Power Pool Agreement ("WSPP Agreement") as listed on</w:t>
      </w:r>
      <w:bookmarkStart w:id="61" w:name="_DV_C33_Copy_1"/>
      <w:bookmarkEnd w:id="60"/>
      <w:bookmarkEnd w:id="61"/>
      <w:r>
        <w:rPr>
          <w:color w:val="000000"/>
        </w:rPr>
        <w:t xml:space="preserve"> </w:t>
      </w:r>
      <w:r>
        <w:rPr>
          <w:color w:val="000000"/>
          <w:u w:val="single"/>
        </w:rPr>
        <w:t>Exhibit B</w:t>
      </w:r>
      <w:r>
        <w:rPr>
          <w:color w:val="000000"/>
        </w:rPr>
        <w:t xml:space="preserve"> (the "PGET Purchase Transactions"), whereby AVISTA is obligated to sell and deliver </w:t>
      </w:r>
      <w:bookmarkStart w:id="62" w:name="_DV_M31"/>
      <w:r>
        <w:rPr>
          <w:rStyle w:val="DeltaViewInsertion"/>
        </w:rPr>
        <w:t xml:space="preserve">and PGET is obligated to purchase and accept </w:t>
      </w:r>
      <w:bookmarkStart w:id="63" w:name="_DV_C34"/>
      <w:bookmarkEnd w:id="62"/>
      <w:bookmarkEnd w:id="63"/>
      <w:r>
        <w:rPr>
          <w:color w:val="000000"/>
        </w:rPr>
        <w:t xml:space="preserve">certain specified amounts of power at certain specified times </w:t>
      </w:r>
      <w:bookmarkStart w:id="64" w:name="_DV_M32"/>
      <w:r>
        <w:rPr>
          <w:rStyle w:val="DeltaViewDeletion"/>
        </w:rPr>
        <w:t xml:space="preserve">to PGET </w:t>
      </w:r>
      <w:bookmarkStart w:id="65" w:name="_DV_C35"/>
      <w:bookmarkEnd w:id="64"/>
      <w:bookmarkEnd w:id="65"/>
      <w:r>
        <w:rPr>
          <w:color w:val="000000"/>
        </w:rPr>
        <w:t xml:space="preserve">(the PGET Purchase Transactions, together with the </w:t>
      </w:r>
      <w:bookmarkStart w:id="66" w:name="_DV_C37"/>
      <w:r>
        <w:rPr>
          <w:rStyle w:val="DeltaViewDeletion"/>
        </w:rPr>
        <w:t>Master</w:t>
      </w:r>
      <w:bookmarkStart w:id="67" w:name="_DV_C36"/>
      <w:bookmarkEnd w:id="66"/>
      <w:r>
        <w:rPr>
          <w:rStyle w:val="DeltaViewInsertion"/>
        </w:rPr>
        <w:t>WSPP</w:t>
      </w:r>
      <w:bookmarkStart w:id="68" w:name="_DV_C37_Copy_1"/>
      <w:bookmarkEnd w:id="67"/>
      <w:bookmarkEnd w:id="68"/>
      <w:r>
        <w:rPr>
          <w:color w:val="000000"/>
        </w:rPr>
        <w:t xml:space="preserve"> Agreement </w:t>
      </w:r>
      <w:bookmarkStart w:id="69" w:name="_DV_C39"/>
      <w:r>
        <w:rPr>
          <w:rStyle w:val="DeltaViewDeletion"/>
        </w:rPr>
        <w:t>between</w:t>
      </w:r>
      <w:bookmarkStart w:id="70" w:name="_DV_C38"/>
      <w:bookmarkEnd w:id="69"/>
      <w:r>
        <w:rPr>
          <w:rStyle w:val="DeltaViewInsertion"/>
        </w:rPr>
        <w:t>as applicable to the</w:t>
      </w:r>
      <w:bookmarkStart w:id="71" w:name="_DV_C39_Copy_1"/>
      <w:bookmarkEnd w:id="70"/>
      <w:bookmarkEnd w:id="71"/>
      <w:r>
        <w:rPr>
          <w:color w:val="000000"/>
        </w:rPr>
        <w:t xml:space="preserve"> PGET </w:t>
      </w:r>
      <w:bookmarkStart w:id="72" w:name="_DV_C41"/>
      <w:r>
        <w:rPr>
          <w:rStyle w:val="DeltaViewDeletion"/>
        </w:rPr>
        <w:t>and</w:t>
      </w:r>
      <w:bookmarkStart w:id="73" w:name="_DV_C40"/>
      <w:bookmarkEnd w:id="72"/>
      <w:r>
        <w:rPr>
          <w:rStyle w:val="DeltaViewInsertion"/>
        </w:rPr>
        <w:t>Purchase</w:t>
      </w:r>
      <w:bookmarkStart w:id="74" w:name="_DV_C41_Copy_1"/>
      <w:bookmarkEnd w:id="73"/>
      <w:bookmarkEnd w:id="74"/>
      <w:r>
        <w:rPr>
          <w:color w:val="000000"/>
        </w:rPr>
        <w:t xml:space="preserve"> </w:t>
      </w:r>
      <w:bookmarkStart w:id="75" w:name="_DV_C43"/>
      <w:r>
        <w:rPr>
          <w:rStyle w:val="DeltaViewDeletion"/>
        </w:rPr>
        <w:t>AVISTA,</w:t>
      </w:r>
      <w:bookmarkStart w:id="76" w:name="_DV_C42"/>
      <w:bookmarkEnd w:id="75"/>
      <w:r>
        <w:rPr>
          <w:rStyle w:val="DeltaViewInsertion"/>
        </w:rPr>
        <w:t>Transactions</w:t>
      </w:r>
      <w:bookmarkStart w:id="77" w:name="_DV_C43_Copy_1"/>
      <w:bookmarkEnd w:id="76"/>
      <w:bookmarkEnd w:id="77"/>
      <w:r>
        <w:rPr>
          <w:color w:val="000000"/>
        </w:rPr>
        <w:t xml:space="preserve"> shall be referred to herein as the "PGET/AVISTA Agreement");</w:t>
      </w:r>
    </w:p>
    <w:p>
      <w:pPr>
        <w:pStyle w:val="BodyText"/>
        <w:bidi w:val="0"/>
        <w:jc w:val="both"/>
        <w:rPr>
          <w:rFonts w:ascii="Times New Roman" w:hAnsi="Times New Roman"/>
          <w:color w:val="000000"/>
        </w:rPr>
      </w:pPr>
      <w:bookmarkStart w:id="78" w:name="_DV_C44"/>
      <w:r>
        <w:rPr>
          <w:rStyle w:val="DeltaViewInsertion"/>
        </w:rPr>
        <w:t>WHEREAS, AVISTA has deposited with PGET cash collateral in the amount of $30,800,000.00 U.S. Dollars as security for AVISTA's future obligations to PGET in respect of the PGET Purchase Transactions (the "AVISTA Collateral");</w:t>
      </w:r>
      <w:bookmarkEnd w:id="78"/>
    </w:p>
    <w:p>
      <w:pPr>
        <w:pStyle w:val="BodyText"/>
        <w:bidi w:val="0"/>
        <w:jc w:val="both"/>
        <w:rPr>
          <w:rFonts w:ascii="Times New Roman" w:hAnsi="Times New Roman"/>
          <w:color w:val="000000"/>
        </w:rPr>
      </w:pPr>
      <w:bookmarkStart w:id="79" w:name="_DV_C46"/>
      <w:r>
        <w:rPr>
          <w:rStyle w:val="DeltaViewDeletion"/>
        </w:rPr>
        <w:t xml:space="preserve">WHEREAS, </w:t>
      </w:r>
      <w:bookmarkStart w:id="80" w:name="_DV_C45"/>
      <w:bookmarkEnd w:id="79"/>
      <w:r>
        <w:rPr>
          <w:rStyle w:val="DeltaViewInsertion"/>
        </w:rPr>
        <w:t xml:space="preserve">WHEREAS, </w:t>
      </w:r>
      <w:bookmarkStart w:id="81" w:name="_DV_C46_Copy_1"/>
      <w:bookmarkEnd w:id="80"/>
      <w:bookmarkEnd w:id="81"/>
      <w:r>
        <w:rPr>
          <w:color w:val="000000"/>
        </w:rPr>
        <w:t xml:space="preserve">EPMI and AVISTA have entered into a Master </w:t>
      </w:r>
      <w:bookmarkStart w:id="82" w:name="_DV_M38"/>
      <w:r>
        <w:rPr>
          <w:rStyle w:val="DeltaViewInsertion"/>
        </w:rPr>
        <w:t xml:space="preserve">Energy Purchase and Sale </w:t>
      </w:r>
      <w:bookmarkStart w:id="83" w:name="_DV_C47"/>
      <w:bookmarkEnd w:id="82"/>
      <w:bookmarkEnd w:id="83"/>
      <w:r>
        <w:rPr>
          <w:color w:val="000000"/>
        </w:rPr>
        <w:t>Agreement</w:t>
      </w:r>
      <w:bookmarkStart w:id="84" w:name="_DV_M39"/>
      <w:r>
        <w:rPr>
          <w:rStyle w:val="DeltaViewInsertion"/>
        </w:rPr>
        <w:t>,</w:t>
      </w:r>
      <w:bookmarkStart w:id="85" w:name="_DV_C48"/>
      <w:bookmarkEnd w:id="84"/>
      <w:bookmarkEnd w:id="85"/>
      <w:r>
        <w:rPr>
          <w:color w:val="000000"/>
        </w:rPr>
        <w:t xml:space="preserve"> dated as of </w:t>
      </w:r>
      <w:bookmarkStart w:id="86" w:name="_DV_C50"/>
      <w:r>
        <w:rPr>
          <w:rStyle w:val="DeltaViewDeletion"/>
        </w:rPr>
        <w:t>_______,</w:t>
      </w:r>
      <w:bookmarkStart w:id="87" w:name="_DV_C49"/>
      <w:bookmarkEnd w:id="86"/>
      <w:r>
        <w:rPr>
          <w:rStyle w:val="DeltaViewInsertion"/>
        </w:rPr>
        <w:t>February 4, 1998,</w:t>
      </w:r>
      <w:bookmarkStart w:id="88" w:name="_DV_C50_Copy_1"/>
      <w:bookmarkEnd w:id="87"/>
      <w:bookmarkEnd w:id="88"/>
      <w:r>
        <w:rPr>
          <w:color w:val="000000"/>
        </w:rPr>
        <w:t xml:space="preserve"> which agreement governs power transactions entered into between EPMI and AVISTA from time to time (the "EPMI/AVISTA Master Agreement");</w:t>
      </w:r>
    </w:p>
    <w:p>
      <w:pPr>
        <w:pStyle w:val="BodyText"/>
        <w:bidi w:val="0"/>
        <w:jc w:val="both"/>
        <w:rPr>
          <w:rFonts w:ascii="Times New Roman" w:hAnsi="Times New Roman"/>
          <w:color w:val="000000"/>
        </w:rPr>
      </w:pPr>
      <w:bookmarkStart w:id="89" w:name="_DV_M41"/>
      <w:bookmarkEnd w:id="89"/>
      <w:r>
        <w:rPr>
          <w:color w:val="000000"/>
        </w:rPr>
        <w:t>WHEREAS, PGET, EPMI and AVISTA now desire to enter into certain settlement agreements relating to the EPMI Purchase Transactions and the PGET Purchase Transactions; and</w:t>
      </w:r>
    </w:p>
    <w:p>
      <w:pPr>
        <w:pStyle w:val="BodyText"/>
        <w:bidi w:val="0"/>
        <w:jc w:val="both"/>
        <w:rPr>
          <w:rFonts w:ascii="Times New Roman" w:hAnsi="Times New Roman"/>
          <w:color w:val="000000"/>
        </w:rPr>
      </w:pPr>
      <w:bookmarkStart w:id="90" w:name="_DV_M42"/>
      <w:bookmarkEnd w:id="90"/>
      <w:r>
        <w:rPr>
          <w:color w:val="000000"/>
        </w:rPr>
        <w:t xml:space="preserve">NOW, THEREFORE, in consideration of the premises and of the mutual agreements herein contained, the </w:t>
      </w:r>
      <w:bookmarkStart w:id="91" w:name="_DV_C52"/>
      <w:r>
        <w:rPr>
          <w:rStyle w:val="DeltaViewDeletion"/>
        </w:rPr>
        <w:t>parties</w:t>
      </w:r>
      <w:bookmarkStart w:id="92" w:name="_DV_C51"/>
      <w:bookmarkEnd w:id="91"/>
      <w:r>
        <w:rPr>
          <w:rStyle w:val="DeltaViewInsertion"/>
        </w:rPr>
        <w:t>Parties</w:t>
      </w:r>
      <w:bookmarkStart w:id="93" w:name="_DV_C52_Copy_1"/>
      <w:bookmarkEnd w:id="92"/>
      <w:bookmarkEnd w:id="93"/>
      <w:r>
        <w:rPr>
          <w:color w:val="000000"/>
        </w:rPr>
        <w:t xml:space="preserve"> hereto agree as follows:</w:t>
      </w:r>
    </w:p>
    <w:p>
      <w:pPr>
        <w:pStyle w:val="Heading1"/>
        <w:numPr>
          <w:ilvl w:val="0"/>
          <w:numId w:val="1"/>
        </w:numPr>
        <w:bidi w:val="0"/>
        <w:jc w:val="both"/>
        <w:rPr>
          <w:rFonts w:ascii="Times New Roman" w:hAnsi="Times New Roman"/>
          <w:color w:val="000000"/>
        </w:rPr>
      </w:pPr>
      <w:bookmarkStart w:id="94" w:name="_DV_M44"/>
      <w:bookmarkEnd w:id="94"/>
      <w:r>
        <w:rPr>
          <w:color w:val="000000"/>
        </w:rPr>
        <w:t>Assignment and Assumption of PGET Purchase Transactions</w:t>
      </w:r>
      <w:r>
        <w:rPr>
          <w:color w:val="000000"/>
          <w:u w:val="none"/>
        </w:rPr>
        <w:t xml:space="preserve">.  </w:t>
      </w:r>
    </w:p>
    <w:p>
      <w:pPr>
        <w:pStyle w:val="Heading2"/>
        <w:keepNext w:val="true"/>
        <w:numPr>
          <w:ilvl w:val="1"/>
          <w:numId w:val="1"/>
        </w:numPr>
        <w:bidi w:val="0"/>
        <w:jc w:val="both"/>
        <w:rPr>
          <w:rFonts w:ascii="Times New Roman" w:hAnsi="Times New Roman"/>
          <w:color w:val="000000"/>
        </w:rPr>
      </w:pPr>
      <w:bookmarkStart w:id="95" w:name="_DV_M45"/>
      <w:bookmarkEnd w:id="95"/>
      <w:r>
        <w:rPr>
          <w:color w:val="000000"/>
        </w:rPr>
        <w:t xml:space="preserve">Effective as of and from December [  ], 2000 (the "Effective Date"), PGET hereby assigns, transfers and conveys, without recourse, to EPMI all of PGET's right, title and interest in, to and under the PGET Purchase Transactions, except with respect to obligations incurred on account of or with respect to </w:t>
      </w:r>
      <w:bookmarkStart w:id="96" w:name="_DV_M46"/>
      <w:r>
        <w:rPr>
          <w:rStyle w:val="DeltaViewInsertion"/>
        </w:rPr>
        <w:t xml:space="preserve">obligations arising prior to the Effective Date, including without limitation the delivery of </w:t>
      </w:r>
      <w:bookmarkStart w:id="97" w:name="_DV_C53"/>
      <w:bookmarkEnd w:id="96"/>
      <w:bookmarkEnd w:id="97"/>
      <w:r>
        <w:rPr>
          <w:color w:val="000000"/>
        </w:rPr>
        <w:t>power</w:t>
      </w:r>
      <w:bookmarkStart w:id="98" w:name="_DV_M47"/>
      <w:r>
        <w:rPr>
          <w:rStyle w:val="DeltaViewDeletion"/>
        </w:rPr>
        <w:t xml:space="preserve"> delivered</w:t>
      </w:r>
      <w:bookmarkStart w:id="99" w:name="_DV_C54"/>
      <w:bookmarkEnd w:id="98"/>
      <w:bookmarkEnd w:id="99"/>
      <w:r>
        <w:rPr>
          <w:color w:val="000000"/>
        </w:rPr>
        <w:t xml:space="preserve">, if any, prior to the Effective Date.  EPMI hereby accepts such assignment, transfer and conveyance and assumes all of the obligations and liabilities of PGET under the PGET Purchase Transactions arising on or after the Effective Date and agrees to perform and observe all of the terms, covenants, agreements, obligations and conditions therein contained on PGET's part to be performed and observed and to be bound by all of the terms and conditions of the PGET Purchase Transactions on and after the Effective Date.  </w:t>
      </w:r>
      <w:r>
        <w:rPr>
          <w:color w:val="000000"/>
          <w:kern w:val="2"/>
        </w:rPr>
        <w:t xml:space="preserve">EPMI shall not be obligated to perform or discharge, nor does it hereby undertake to perform or discharge or assume any responsibility for, any obligation, duty or liability under the PGET Purchase Transactions arising prior to the Effective Date, including with respect to power delivered, if any, to PGET prior to the Effective Date.  </w:t>
      </w:r>
    </w:p>
    <w:p>
      <w:pPr>
        <w:pStyle w:val="Heading2"/>
        <w:numPr>
          <w:ilvl w:val="1"/>
          <w:numId w:val="1"/>
        </w:numPr>
        <w:bidi w:val="0"/>
        <w:jc w:val="both"/>
        <w:rPr>
          <w:rFonts w:ascii="Times New Roman" w:hAnsi="Times New Roman"/>
          <w:color w:val="000000"/>
        </w:rPr>
      </w:pPr>
      <w:bookmarkStart w:id="100" w:name="_DV_M48"/>
      <w:bookmarkEnd w:id="100"/>
      <w:r>
        <w:rPr>
          <w:color w:val="000000"/>
        </w:rPr>
        <w:t xml:space="preserve">AVISTA hereby consents to the assignment by PGET of the PGET Purchase Transactions to EPMI as of the Effective Date and releases PGET from certain obligations under the PGET Purchase Transactions, as more specifically set forth in Sections </w:t>
      </w:r>
      <w:bookmarkStart w:id="101" w:name="_DV_M49"/>
      <w:bookmarkEnd w:id="101"/>
      <w:r>
        <w:rPr>
          <w:vanish/>
          <w:color w:val="FF0000"/>
        </w:rPr>
        <w:t xml:space="preserve">Section </w:t>
      </w:r>
      <w:r>
        <w:rPr>
          <w:color w:val="000000"/>
        </w:rPr>
        <w:t xml:space="preserve">4(a) and </w:t>
      </w:r>
      <w:bookmarkStart w:id="102" w:name="_DV_M50"/>
      <w:bookmarkStart w:id="103" w:name="_Hlt502204786"/>
      <w:bookmarkEnd w:id="103"/>
      <w:r>
        <w:rPr>
          <w:vanish/>
          <w:color w:val="FF0000"/>
        </w:rPr>
        <w:t xml:space="preserve">Section </w:t>
      </w:r>
      <w:r>
        <w:rPr>
          <w:color w:val="000000"/>
        </w:rPr>
        <w:t>5 below.  AVISTA agrees and acknowledges that any and all liabilities or obligations arising out of or with respect to the PGET Purchase Transactions resulting from actions, failures to act or events occurring prior to the Effective Date or the delivery of power, if any, prior to the Effective Date shall be solely for the account of PGET.</w:t>
      </w:r>
      <w:bookmarkEnd w:id="102"/>
    </w:p>
    <w:p>
      <w:pPr>
        <w:pStyle w:val="Heading2"/>
        <w:numPr>
          <w:ilvl w:val="1"/>
          <w:numId w:val="1"/>
        </w:numPr>
        <w:bidi w:val="0"/>
        <w:jc w:val="both"/>
        <w:rPr>
          <w:rFonts w:ascii="Times New Roman" w:hAnsi="Times New Roman"/>
          <w:color w:val="000000"/>
        </w:rPr>
      </w:pPr>
      <w:bookmarkStart w:id="104" w:name="_DV_M51"/>
      <w:bookmarkStart w:id="105" w:name="_Ref502042110"/>
      <w:bookmarkStart w:id="106" w:name="_Ref501972291"/>
      <w:bookmarkEnd w:id="106"/>
      <w:r>
        <w:rPr>
          <w:color w:val="000000"/>
        </w:rPr>
        <w:t xml:space="preserve">EPMI and AVISTA hereby acknowledge and agree that effective as of </w:t>
      </w:r>
      <w:bookmarkStart w:id="107" w:name="_DV_M52"/>
      <w:r>
        <w:rPr>
          <w:rStyle w:val="DeltaViewInsertion"/>
        </w:rPr>
        <w:t xml:space="preserve">and after </w:t>
      </w:r>
      <w:bookmarkStart w:id="108" w:name="_DV_C55"/>
      <w:bookmarkEnd w:id="107"/>
      <w:bookmarkEnd w:id="108"/>
      <w:r>
        <w:rPr>
          <w:color w:val="000000"/>
        </w:rPr>
        <w:t xml:space="preserve">the Effective Date each of the PGET Purchase Transactions shall be deemed to be amended and restated automatically and without any further act of such </w:t>
      </w:r>
      <w:bookmarkStart w:id="109" w:name="_DV_C57"/>
      <w:r>
        <w:rPr>
          <w:rStyle w:val="DeltaViewDeletion"/>
        </w:rPr>
        <w:t>parties</w:t>
      </w:r>
      <w:bookmarkStart w:id="110" w:name="_DV_C56"/>
      <w:bookmarkEnd w:id="109"/>
      <w:r>
        <w:rPr>
          <w:rStyle w:val="DeltaViewInsertion"/>
        </w:rPr>
        <w:t>Parties</w:t>
      </w:r>
      <w:bookmarkStart w:id="111" w:name="_DV_C57_Copy_1"/>
      <w:bookmarkEnd w:id="110"/>
      <w:bookmarkEnd w:id="111"/>
      <w:r>
        <w:rPr>
          <w:color w:val="000000"/>
        </w:rPr>
        <w:t>, so as to be governed by and subject to all of the terms and conditions of the EPMI/AVISTA Master Agreement</w:t>
      </w:r>
      <w:bookmarkStart w:id="112" w:name="_DV_M54"/>
      <w:r>
        <w:rPr>
          <w:rStyle w:val="DeltaViewInsertion"/>
        </w:rPr>
        <w:t xml:space="preserve"> in lieu of the WSPP Agreement</w:t>
      </w:r>
      <w:bookmarkStart w:id="113" w:name="_DV_C58"/>
      <w:bookmarkEnd w:id="112"/>
      <w:bookmarkEnd w:id="113"/>
      <w:r>
        <w:rPr>
          <w:color w:val="000000"/>
        </w:rPr>
        <w:t>.</w:t>
      </w:r>
      <w:bookmarkStart w:id="114" w:name="_Ref501972291_Copy_1"/>
      <w:bookmarkEnd w:id="105"/>
      <w:bookmarkEnd w:id="114"/>
      <w:r>
        <w:rPr>
          <w:color w:val="000000"/>
        </w:rPr>
        <w:t xml:space="preserve">  EPMI and AVISTA shall cooperate to take such actions as may be reasonably necessary or appropriate to conform any documents to reflect the inclusion of the PGET Purchase Transactions as part of the EPMI/AVISTA Master Agreement</w:t>
      </w:r>
      <w:bookmarkStart w:id="115" w:name="_DV_M56"/>
      <w:r>
        <w:rPr>
          <w:rStyle w:val="DeltaViewInsertion"/>
        </w:rPr>
        <w:t xml:space="preserve"> in lieu of the WSPP Agreement</w:t>
      </w:r>
      <w:bookmarkStart w:id="116" w:name="_DV_C59"/>
      <w:bookmarkEnd w:id="115"/>
      <w:bookmarkEnd w:id="116"/>
      <w:r>
        <w:rPr>
          <w:color w:val="000000"/>
        </w:rPr>
        <w:t>.</w:t>
      </w:r>
      <w:bookmarkEnd w:id="104"/>
    </w:p>
    <w:p>
      <w:pPr>
        <w:pStyle w:val="Heading1"/>
        <w:numPr>
          <w:ilvl w:val="1"/>
          <w:numId w:val="1"/>
        </w:numPr>
        <w:tabs>
          <w:tab w:val="clear" w:pos="720"/>
          <w:tab w:val="left" w:pos="1800" w:leader="none"/>
        </w:tabs>
        <w:bidi w:val="0"/>
        <w:ind w:firstLine="720"/>
        <w:jc w:val="both"/>
        <w:rPr>
          <w:rFonts w:ascii="Times New Roman" w:hAnsi="Times New Roman"/>
          <w:color w:val="000000"/>
        </w:rPr>
      </w:pPr>
      <w:bookmarkStart w:id="117" w:name="_DV_M57"/>
      <w:bookmarkEnd w:id="117"/>
      <w:r>
        <w:rPr>
          <w:color w:val="000000"/>
        </w:rPr>
        <w:t>Representations and Warranties</w:t>
      </w:r>
      <w:r>
        <w:rPr>
          <w:color w:val="000000"/>
          <w:u w:val="none"/>
        </w:rPr>
        <w:t xml:space="preserve">. </w:t>
      </w:r>
      <w:r>
        <w:rPr>
          <w:color w:val="000000"/>
        </w:rPr>
        <w:t xml:space="preserve"> </w:t>
      </w:r>
    </w:p>
    <w:p>
      <w:pPr>
        <w:pStyle w:val="Heading2"/>
        <w:keepNext w:val="true"/>
        <w:numPr>
          <w:ilvl w:val="1"/>
          <w:numId w:val="1"/>
        </w:numPr>
        <w:bidi w:val="0"/>
        <w:jc w:val="both"/>
        <w:rPr>
          <w:rFonts w:ascii="Times New Roman" w:hAnsi="Times New Roman"/>
          <w:color w:val="000000"/>
        </w:rPr>
      </w:pPr>
      <w:bookmarkStart w:id="118" w:name="_DV_M58"/>
      <w:bookmarkEnd w:id="118"/>
      <w:r>
        <w:rPr>
          <w:color w:val="000000"/>
        </w:rPr>
        <w:t xml:space="preserve">Each of AVISTA, PGET and EPMI hereby represents and warrants to the other </w:t>
      </w:r>
      <w:bookmarkStart w:id="119" w:name="_DV_C61"/>
      <w:r>
        <w:rPr>
          <w:rStyle w:val="DeltaViewDeletion"/>
        </w:rPr>
        <w:t>parties</w:t>
      </w:r>
      <w:bookmarkStart w:id="120" w:name="_DV_C60"/>
      <w:bookmarkEnd w:id="119"/>
      <w:r>
        <w:rPr>
          <w:rStyle w:val="DeltaViewInsertion"/>
        </w:rPr>
        <w:t>Parties</w:t>
      </w:r>
      <w:bookmarkStart w:id="121" w:name="_DV_C61_Copy_1"/>
      <w:bookmarkEnd w:id="120"/>
      <w:bookmarkEnd w:id="121"/>
      <w:r>
        <w:rPr>
          <w:color w:val="000000"/>
        </w:rPr>
        <w:t xml:space="preserve"> hereto that (i) the execution, delivery and performance of this Agreement by it are within its powers, and have been duly authorized by all necessary corporate or other action and do not violate any of the terms and conditions in its governing documents, any contracts to which it is a party or any law, rule, regulation, order or the like applicable to it, (ii) this Agreement constitutes a legal, valid and binding obligation enforceable against it in accordance with its terms, subject to any equitable defenses, (iii) it is acting for its own account, has made its own independent decision to enter into this Agreement and as to whether this Agreement is appropriate or proper for it based upon its own judgment, is not relying upon the advice or recommendations of any other </w:t>
      </w:r>
      <w:bookmarkStart w:id="122" w:name="_DV_C63"/>
      <w:r>
        <w:rPr>
          <w:rStyle w:val="DeltaViewDeletion"/>
        </w:rPr>
        <w:t>party</w:t>
      </w:r>
      <w:bookmarkStart w:id="123" w:name="_DV_C62"/>
      <w:bookmarkEnd w:id="122"/>
      <w:r>
        <w:rPr>
          <w:rStyle w:val="DeltaViewInsertion"/>
        </w:rPr>
        <w:t>Party</w:t>
      </w:r>
      <w:bookmarkStart w:id="124" w:name="_DV_C63_Copy_1"/>
      <w:bookmarkEnd w:id="123"/>
      <w:bookmarkEnd w:id="124"/>
      <w:r>
        <w:rPr>
          <w:color w:val="000000"/>
        </w:rPr>
        <w:t xml:space="preserve"> in so doing, and is capable of assessing the merits of and understanding, and understands and accepts, the terms, conditions and risks of this Agreement</w:t>
      </w:r>
      <w:bookmarkStart w:id="125" w:name="_DV_C65"/>
      <w:r>
        <w:rPr>
          <w:rStyle w:val="DeltaViewDeletion"/>
        </w:rPr>
        <w:t xml:space="preserve"> and</w:t>
      </w:r>
      <w:bookmarkStart w:id="126" w:name="_DV_C64"/>
      <w:bookmarkEnd w:id="125"/>
      <w:r>
        <w:rPr>
          <w:rStyle w:val="DeltaViewInsertion"/>
        </w:rPr>
        <w:t>,</w:t>
      </w:r>
      <w:bookmarkStart w:id="127" w:name="_DV_C65_Copy_1"/>
      <w:bookmarkEnd w:id="126"/>
      <w:bookmarkEnd w:id="127"/>
      <w:r>
        <w:rPr>
          <w:color w:val="000000"/>
        </w:rPr>
        <w:t xml:space="preserve"> (iv) there are no consents or approvals of any governmental authorities applicable to it, and no filings or notices are required to be made by it with any such governmental authorities, with respect to the execution, delivery and performance of this Agreement and the consummation of the transactions contemplated hereby</w:t>
      </w:r>
      <w:bookmarkStart w:id="128" w:name="_DV_M62"/>
      <w:r>
        <w:rPr>
          <w:rStyle w:val="DeltaViewInsertion"/>
        </w:rPr>
        <w:t xml:space="preserve"> and (v) it is a "forward contract merchant" and each of the various purchase transactions and master agreements relevant to the transactions contemplated by this Agreement and to which it is a party constitute "forward contracts" as defined in 11 U</w:t>
      </w:r>
      <w:bookmarkStart w:id="129" w:name="_DV_C66"/>
      <w:bookmarkEnd w:id="128"/>
      <w:bookmarkEnd w:id="129"/>
      <w:r>
        <w:rPr>
          <w:color w:val="000000"/>
        </w:rPr>
        <w:t>.</w:t>
      </w:r>
      <w:bookmarkStart w:id="130" w:name="_DV_C67"/>
      <w:r>
        <w:rPr>
          <w:rStyle w:val="DeltaViewInsertion"/>
        </w:rPr>
        <w:t>S.C. §101.</w:t>
      </w:r>
      <w:bookmarkEnd w:id="130"/>
    </w:p>
    <w:p>
      <w:pPr>
        <w:pStyle w:val="Heading2"/>
        <w:numPr>
          <w:ilvl w:val="1"/>
          <w:numId w:val="1"/>
        </w:numPr>
        <w:bidi w:val="0"/>
        <w:jc w:val="both"/>
        <w:rPr>
          <w:rFonts w:ascii="Times New Roman" w:hAnsi="Times New Roman"/>
          <w:color w:val="000000"/>
        </w:rPr>
      </w:pPr>
      <w:bookmarkStart w:id="131" w:name="_DV_M63"/>
      <w:bookmarkEnd w:id="131"/>
      <w:r>
        <w:rPr>
          <w:color w:val="000000"/>
          <w:kern w:val="2"/>
        </w:rPr>
        <w:t xml:space="preserve">PGET represents and warrants that it is the legal and beneficial owner of all right, title and interest in, to and under the PGET Purchase Transactions and that the PGET Purchase Transactions are free and clear of any liens, encumbrances or adverse claims.  </w:t>
      </w:r>
    </w:p>
    <w:p>
      <w:pPr>
        <w:pStyle w:val="Heading2"/>
        <w:numPr>
          <w:ilvl w:val="1"/>
          <w:numId w:val="1"/>
        </w:numPr>
        <w:bidi w:val="0"/>
        <w:jc w:val="both"/>
        <w:rPr>
          <w:rFonts w:ascii="Times New Roman" w:hAnsi="Times New Roman"/>
          <w:color w:val="000000"/>
        </w:rPr>
      </w:pPr>
      <w:bookmarkStart w:id="132" w:name="_DV_M64"/>
      <w:bookmarkEnd w:id="132"/>
      <w:r>
        <w:rPr>
          <w:color w:val="000000"/>
          <w:kern w:val="2"/>
        </w:rPr>
        <w:t xml:space="preserve">Each of AVISTA and PGET represent and warrant that (i) the PGET Purchase Transactions are in full force and effect and (ii) notwithstanding whether there has been or there is existing under the PGET/AVISTA Agreement a default, event of default or other breach, or any event or circumstance that with the passage of time would be reasonably likely to result in a default, event of default or breach, neither PGET nor AVISTA shall raise any defense to the enforceability or validity of the PGET Purchase Transactions, which PGET Purchase Transactions shall remain in full force and effect on and after the Effective Date.  </w:t>
      </w:r>
    </w:p>
    <w:p>
      <w:pPr>
        <w:pStyle w:val="Heading1"/>
        <w:numPr>
          <w:ilvl w:val="1"/>
          <w:numId w:val="1"/>
        </w:numPr>
        <w:tabs>
          <w:tab w:val="clear" w:pos="720"/>
          <w:tab w:val="left" w:pos="1800" w:leader="none"/>
        </w:tabs>
        <w:bidi w:val="0"/>
        <w:ind w:firstLine="720"/>
        <w:jc w:val="both"/>
        <w:rPr>
          <w:rFonts w:ascii="Times New Roman" w:hAnsi="Times New Roman"/>
          <w:color w:val="000000"/>
        </w:rPr>
      </w:pPr>
      <w:bookmarkStart w:id="133" w:name="_DV_M65"/>
      <w:bookmarkEnd w:id="133"/>
      <w:r>
        <w:rPr>
          <w:color w:val="000000"/>
          <w:kern w:val="2"/>
        </w:rPr>
        <w:t>Indemnification</w:t>
      </w:r>
      <w:r>
        <w:rPr>
          <w:color w:val="000000"/>
          <w:kern w:val="2"/>
          <w:u w:val="none"/>
        </w:rPr>
        <w:t>.</w:t>
      </w:r>
      <w:r>
        <w:rPr>
          <w:color w:val="000000"/>
          <w:kern w:val="2"/>
        </w:rPr>
        <w:t xml:space="preserve"> </w:t>
      </w:r>
    </w:p>
    <w:p>
      <w:pPr>
        <w:pStyle w:val="Heading2"/>
        <w:numPr>
          <w:ilvl w:val="1"/>
          <w:numId w:val="1"/>
        </w:numPr>
        <w:bidi w:val="0"/>
        <w:jc w:val="both"/>
        <w:rPr>
          <w:rFonts w:ascii="Times New Roman" w:hAnsi="Times New Roman"/>
          <w:color w:val="000000"/>
        </w:rPr>
      </w:pPr>
      <w:bookmarkStart w:id="134" w:name="_DV_M66"/>
      <w:bookmarkStart w:id="135" w:name="_Ref502557916"/>
      <w:bookmarkEnd w:id="135"/>
      <w:r>
        <w:rPr>
          <w:color w:val="000000"/>
          <w:kern w:val="2"/>
        </w:rPr>
        <w:t xml:space="preserve">PGET hereby agrees to indemnify, defend and save harmless EPMI, EPMI's affiliates, and </w:t>
      </w:r>
      <w:r>
        <w:rPr>
          <w:color w:val="000000"/>
        </w:rPr>
        <w:t xml:space="preserve">their respective present, former and future directors, officers, trustees, representatives, employees, attorneys, advisors, agents, stockholders, partners, predecessors, legal representatives, successors and assigns, in any capacity whatsoever, </w:t>
      </w:r>
      <w:r>
        <w:rPr>
          <w:color w:val="000000"/>
          <w:kern w:val="2"/>
        </w:rPr>
        <w:t>from and against any and all losses, damages, claims, demands, actions, complaints, causes of action, suits, judgments, obligations, liabilities, debts, penalties, expenses, fines and reasonable attorneys' fees and expenses (including attorneys' fees and expenses incurred with respect to the enforcement of this indemnity by EPMI) that directly or indirectly relate to, result from, or arise out of the PGET Purchase Transactions with respect to any event or circumstance arising prior to the Effective Date.</w:t>
      </w:r>
      <w:bookmarkEnd w:id="134"/>
    </w:p>
    <w:p>
      <w:pPr>
        <w:pStyle w:val="Heading2"/>
        <w:numPr>
          <w:ilvl w:val="1"/>
          <w:numId w:val="1"/>
        </w:numPr>
        <w:bidi w:val="0"/>
        <w:jc w:val="both"/>
        <w:rPr>
          <w:rFonts w:ascii="Times New Roman" w:hAnsi="Times New Roman"/>
          <w:color w:val="000000"/>
        </w:rPr>
      </w:pPr>
      <w:bookmarkStart w:id="136" w:name="_DV_M67"/>
      <w:bookmarkEnd w:id="136"/>
      <w:r>
        <w:rPr>
          <w:color w:val="000000"/>
          <w:kern w:val="2"/>
        </w:rPr>
        <w:t xml:space="preserve">EPMI hereby agrees to indemnify, defend and save harmless PGET, PGET's affiliates, and </w:t>
      </w:r>
      <w:r>
        <w:rPr>
          <w:color w:val="000000"/>
        </w:rPr>
        <w:t xml:space="preserve">their respective present, former and future directors, officers, trustees, representatives, employees, attorneys, advisors, agents, stockholders, partners, predecessors, legal representatives, successors and assigns, in any capacity whatsoever, </w:t>
      </w:r>
      <w:r>
        <w:rPr>
          <w:color w:val="000000"/>
          <w:kern w:val="2"/>
        </w:rPr>
        <w:t>from and against any and all losses, damages, claims, demands, actions, complaints, causes of action, suits, judgments, obligations, liabilities, debts, penalties, expenses, fines and reasonable attorneys' fees and expenses (including attorneys' fees and expenses incurred with respect to the enforcement of this indemnity by PGET) that directly or indirectly relate to, result from, or arise out of the PGET Purchase Transactions with respect to any event or circumstance arising on or after the Effective Date.</w:t>
      </w:r>
    </w:p>
    <w:p>
      <w:pPr>
        <w:pStyle w:val="Heading1"/>
        <w:numPr>
          <w:ilvl w:val="1"/>
          <w:numId w:val="1"/>
        </w:numPr>
        <w:tabs>
          <w:tab w:val="clear" w:pos="720"/>
          <w:tab w:val="left" w:pos="1800" w:leader="none"/>
        </w:tabs>
        <w:bidi w:val="0"/>
        <w:ind w:firstLine="720"/>
        <w:jc w:val="both"/>
        <w:rPr>
          <w:rFonts w:ascii="Times New Roman" w:hAnsi="Times New Roman"/>
          <w:color w:val="000000"/>
        </w:rPr>
      </w:pPr>
      <w:bookmarkStart w:id="137" w:name="_DV_M68"/>
      <w:bookmarkStart w:id="138" w:name="_Ref501970992"/>
      <w:bookmarkEnd w:id="138"/>
      <w:r>
        <w:rPr>
          <w:color w:val="000000"/>
        </w:rPr>
        <w:t>Releases</w:t>
      </w:r>
      <w:r>
        <w:rPr>
          <w:color w:val="000000"/>
          <w:u w:val="none"/>
        </w:rPr>
        <w:t xml:space="preserve">.  </w:t>
      </w:r>
    </w:p>
    <w:p>
      <w:pPr>
        <w:pStyle w:val="Heading2"/>
        <w:numPr>
          <w:ilvl w:val="1"/>
          <w:numId w:val="1"/>
        </w:numPr>
        <w:bidi w:val="0"/>
        <w:jc w:val="both"/>
        <w:rPr>
          <w:rFonts w:ascii="Times New Roman" w:hAnsi="Times New Roman"/>
          <w:color w:val="000000"/>
        </w:rPr>
      </w:pPr>
      <w:bookmarkStart w:id="139" w:name="_DV_M69"/>
      <w:bookmarkStart w:id="140" w:name="_Ref501984593"/>
      <w:bookmarkEnd w:id="140"/>
      <w:r>
        <w:rPr>
          <w:color w:val="000000"/>
        </w:rPr>
        <w:t xml:space="preserve"> </w:t>
      </w:r>
      <w:bookmarkStart w:id="141" w:name="_DV_M70"/>
      <w:bookmarkStart w:id="142" w:name="_Ref502046499"/>
      <w:bookmarkEnd w:id="142"/>
      <w:r>
        <w:rPr>
          <w:color w:val="000000"/>
        </w:rPr>
        <w:t xml:space="preserve">Subject to Sections </w:t>
      </w:r>
      <w:bookmarkStart w:id="143" w:name="_DV_M71"/>
      <w:bookmarkEnd w:id="143"/>
      <w:r>
        <w:rPr>
          <w:vanish/>
          <w:color w:val="000000"/>
        </w:rPr>
        <w:t xml:space="preserve">Section </w:t>
      </w:r>
      <w:r>
        <w:rPr>
          <w:color w:val="000000"/>
        </w:rPr>
        <w:t xml:space="preserve">5(a) and </w:t>
      </w:r>
      <w:bookmarkStart w:id="144" w:name="_DV_M72"/>
      <w:bookmarkEnd w:id="144"/>
      <w:r>
        <w:rPr>
          <w:vanish/>
          <w:color w:val="000000"/>
        </w:rPr>
        <w:t xml:space="preserve">Section </w:t>
      </w:r>
      <w:r>
        <w:rPr>
          <w:color w:val="000000"/>
        </w:rPr>
        <w:t>5(b)</w:t>
      </w:r>
      <w:bookmarkStart w:id="145" w:name="_DV_M73"/>
      <w:r>
        <w:rPr>
          <w:rStyle w:val="DeltaViewDeletion"/>
        </w:rPr>
        <w:t xml:space="preserve"> below</w:t>
      </w:r>
      <w:bookmarkStart w:id="146" w:name="_DV_C68"/>
      <w:bookmarkEnd w:id="145"/>
      <w:bookmarkEnd w:id="146"/>
      <w:r>
        <w:rPr>
          <w:color w:val="000000"/>
        </w:rPr>
        <w:t xml:space="preserve">, effective on the Effective Date, </w:t>
      </w:r>
      <w:bookmarkStart w:id="147" w:name="_DV_M74"/>
      <w:r>
        <w:rPr>
          <w:rStyle w:val="DeltaViewDeletion"/>
        </w:rPr>
        <w:t xml:space="preserve">EPMI and </w:t>
      </w:r>
      <w:bookmarkStart w:id="148" w:name="_DV_C69"/>
      <w:bookmarkEnd w:id="147"/>
      <w:bookmarkEnd w:id="148"/>
      <w:r>
        <w:rPr>
          <w:color w:val="000000"/>
        </w:rPr>
        <w:t>AVISTA,</w:t>
      </w:r>
      <w:bookmarkStart w:id="149" w:name="_DV_M75"/>
      <w:r>
        <w:rPr>
          <w:rStyle w:val="DeltaViewDeletion"/>
        </w:rPr>
        <w:t xml:space="preserve"> each</w:t>
      </w:r>
      <w:bookmarkStart w:id="150" w:name="_DV_C70"/>
      <w:bookmarkEnd w:id="149"/>
      <w:bookmarkEnd w:id="150"/>
      <w:r>
        <w:rPr>
          <w:color w:val="000000"/>
        </w:rPr>
        <w:t xml:space="preserve"> on behalf of itself and its </w:t>
      </w:r>
      <w:bookmarkStart w:id="151" w:name="_DV_M76"/>
      <w:r>
        <w:rPr>
          <w:rStyle w:val="DeltaViewDeletion"/>
        </w:rPr>
        <w:t xml:space="preserve">respective </w:t>
      </w:r>
      <w:bookmarkStart w:id="152" w:name="_DV_C71"/>
      <w:bookmarkEnd w:id="151"/>
      <w:bookmarkEnd w:id="152"/>
      <w:r>
        <w:rPr>
          <w:color w:val="000000"/>
        </w:rPr>
        <w:t xml:space="preserve">affiliates, hereby irrevocably, fully and completely releases and forever discharges PGET, PGET's affiliates, and their respective present, former and future directors, officers, trustees, representatives, employees, attorneys, advisors, agents, stockholders, partners, predecessors, legal representatives, successors and assigns, in any capacity whatsoever (collectively, the "PGET Released Parties"), from any and all claims, actions, complaints, causes of action, judgments, liabilities, obligations, damages, debts, demands or suits, at law or in equity, known or unknown (collectively, "Claims"), that </w:t>
      </w:r>
      <w:bookmarkStart w:id="153" w:name="_DV_M77"/>
      <w:r>
        <w:rPr>
          <w:rStyle w:val="DeltaViewDeletion"/>
        </w:rPr>
        <w:t xml:space="preserve">EPMI or </w:t>
      </w:r>
      <w:bookmarkStart w:id="154" w:name="_DV_C72"/>
      <w:bookmarkEnd w:id="153"/>
      <w:bookmarkEnd w:id="154"/>
      <w:r>
        <w:rPr>
          <w:color w:val="000000"/>
        </w:rPr>
        <w:t xml:space="preserve">AVISTA and/or </w:t>
      </w:r>
      <w:bookmarkStart w:id="155" w:name="_DV_C74"/>
      <w:r>
        <w:rPr>
          <w:rStyle w:val="DeltaViewDeletion"/>
        </w:rPr>
        <w:t>their respective</w:t>
      </w:r>
      <w:bookmarkStart w:id="156" w:name="_DV_C73"/>
      <w:bookmarkEnd w:id="155"/>
      <w:r>
        <w:rPr>
          <w:rStyle w:val="DeltaViewInsertion"/>
        </w:rPr>
        <w:t>its</w:t>
      </w:r>
      <w:bookmarkStart w:id="157" w:name="_DV_C74_Copy_1"/>
      <w:bookmarkEnd w:id="156"/>
      <w:bookmarkEnd w:id="157"/>
      <w:r>
        <w:rPr>
          <w:color w:val="000000"/>
        </w:rPr>
        <w:t xml:space="preserve"> affiliates ever had, now has or hereafter can, shall or may have against any PGET Released Party for, upon, or by reason of any matter, cause or thing whatsoever, that </w:t>
      </w:r>
      <w:r>
        <w:rPr>
          <w:color w:val="000000"/>
          <w:kern w:val="2"/>
        </w:rPr>
        <w:t>directly or indirectly relate to, result from, or arise out of the PGET Purchase Transactions</w:t>
      </w:r>
      <w:r>
        <w:rPr>
          <w:color w:val="000000"/>
        </w:rPr>
        <w:t xml:space="preserve">.  </w:t>
      </w:r>
      <w:r>
        <w:rPr>
          <w:color w:val="000000"/>
          <w:kern w:val="2"/>
        </w:rPr>
        <w:t>PGET shall not be obligated to perform or discharge, nor does it hereby undertake to perform or discharge, any obligation, duty or liability under the PGET Purchase Transactions arising on or after the Effective Date.</w:t>
      </w:r>
      <w:bookmarkStart w:id="158" w:name="_Ref501970992_Copy_1"/>
      <w:bookmarkEnd w:id="137"/>
      <w:bookmarkEnd w:id="139"/>
      <w:bookmarkEnd w:id="141"/>
      <w:bookmarkEnd w:id="158"/>
      <w:r>
        <w:rPr>
          <w:color w:val="000000"/>
          <w:kern w:val="2"/>
        </w:rPr>
        <w:t xml:space="preserve">  </w:t>
      </w:r>
    </w:p>
    <w:p>
      <w:pPr>
        <w:pStyle w:val="Heading2"/>
        <w:numPr>
          <w:ilvl w:val="1"/>
          <w:numId w:val="4"/>
        </w:numPr>
        <w:bidi w:val="0"/>
        <w:jc w:val="both"/>
        <w:rPr>
          <w:rFonts w:ascii="Times New Roman" w:hAnsi="Times New Roman"/>
          <w:color w:val="000000"/>
        </w:rPr>
      </w:pPr>
      <w:bookmarkStart w:id="159" w:name="_DV_C76_Copy_1"/>
      <w:bookmarkStart w:id="160" w:name="_Ref502578341"/>
      <w:r>
        <w:rPr>
          <w:rStyle w:val="DeltaViewInsertion"/>
        </w:rPr>
        <w:t xml:space="preserve">Subject to Sections </w:t>
      </w:r>
      <w:bookmarkStart w:id="161" w:name="_DV_C75"/>
      <w:bookmarkEnd w:id="160"/>
      <w:r>
        <w:rPr>
          <w:rStyle w:val="DeltaViewInsertion"/>
          <w:vanish/>
        </w:rPr>
        <w:t xml:space="preserve">Section </w:t>
      </w:r>
      <w:r>
        <w:rPr>
          <w:rStyle w:val="DeltaViewInsertion"/>
        </w:rPr>
        <w:t xml:space="preserve">5(a) and </w:t>
      </w:r>
      <w:bookmarkStart w:id="162" w:name="_DV_C76"/>
      <w:bookmarkEnd w:id="161"/>
      <w:r>
        <w:rPr>
          <w:rStyle w:val="DeltaViewInsertion"/>
          <w:vanish/>
        </w:rPr>
        <w:t xml:space="preserve">Section </w:t>
      </w:r>
      <w:r>
        <w:rPr>
          <w:rStyle w:val="DeltaViewInsertion"/>
        </w:rPr>
        <w:t xml:space="preserve">5(b), effective on the Effective Date, PGET, on behalf of itself and its affiliates, hereby irrevocably, fully and completely releases and forever discharges AVISTA, AVISTA's affiliates, and their respective present, former and future directors, officers, trustees, representatives, employees, attorneys, advisors, agents, stockholders, partners, predecessors, legal representatives, successors and assigns, in any capacity whatsoever (collectively, the "AVISTA Released Parties"), from any and all Claims that PGET and/or its affiliates ever had, now has or hereafter can, shall or may have against any AVISTA Released Party for, upon, or by reason of any matter, cause or thing whatsoever, that </w:t>
      </w:r>
      <w:r>
        <w:rPr>
          <w:rStyle w:val="DeltaViewInsertion"/>
          <w:kern w:val="2"/>
        </w:rPr>
        <w:t>directly or indirectly relate to, result from, or arise out of the PGET Purchase Transactions</w:t>
      </w:r>
      <w:r>
        <w:rPr>
          <w:rStyle w:val="DeltaViewInsertion"/>
        </w:rPr>
        <w:t>.</w:t>
      </w:r>
      <w:bookmarkEnd w:id="159"/>
      <w:bookmarkEnd w:id="162"/>
      <w:r>
        <w:rPr>
          <w:color w:val="000000"/>
        </w:rPr>
        <w:t xml:space="preserve"> </w:t>
      </w:r>
    </w:p>
    <w:p>
      <w:pPr>
        <w:pStyle w:val="Heading2"/>
        <w:numPr>
          <w:ilvl w:val="1"/>
          <w:numId w:val="5"/>
        </w:numPr>
        <w:bidi w:val="0"/>
        <w:jc w:val="both"/>
        <w:rPr>
          <w:rFonts w:ascii="Times New Roman" w:hAnsi="Times New Roman"/>
          <w:color w:val="000000"/>
        </w:rPr>
      </w:pPr>
      <w:r>
        <w:rPr>
          <w:rStyle w:val="DeltaViewDeletion"/>
        </w:rPr>
        <w:t xml:space="preserve">(b) </w:t>
      </w:r>
      <w:bookmarkStart w:id="163" w:name="_DV_M80"/>
      <w:bookmarkEnd w:id="163"/>
      <w:r>
        <w:rPr>
          <w:color w:val="000000"/>
        </w:rPr>
        <w:t xml:space="preserve">Subject to </w:t>
      </w:r>
      <w:bookmarkStart w:id="164" w:name="_DV_M81"/>
      <w:bookmarkEnd w:id="164"/>
      <w:r>
        <w:rPr>
          <w:color w:val="000000"/>
        </w:rPr>
        <w:t xml:space="preserve">Section 5(c) below, effective on the Effective Date, PGET, on behalf of itself and its affiliates, hereby irrevocably, fully and completely releases and forever discharges EPMI, its affiliates, and their respective present, former and future directors, officers, trustees, representatives, employees, attorneys, advisors, agents, stockholders, partners, predecessors, legal representatives, successors and assigns, in any capacity whatsoever (collectively, the "EPMI Released Parties"), from any and all Claims that PGET and/or its affiliates ever had, now has or hereafter can, shall or may have against any EPMI Released Party for, upon, or by reason of any matter, cause or thing whatsoever, that </w:t>
      </w:r>
      <w:r>
        <w:rPr>
          <w:color w:val="000000"/>
          <w:kern w:val="2"/>
        </w:rPr>
        <w:t xml:space="preserve">directly or indirectly relate to, result from, or arise out of the EPMI Purchase Transactions.  </w:t>
      </w:r>
      <w:r>
        <w:rPr>
          <w:color w:val="000000"/>
        </w:rPr>
        <w:t xml:space="preserve">EPMI </w:t>
      </w:r>
      <w:r>
        <w:rPr>
          <w:color w:val="000000"/>
          <w:kern w:val="2"/>
        </w:rPr>
        <w:t xml:space="preserve">shall not be obligated to perform or discharge, nor does it hereby undertake to perform or discharge, any obligation, duty or liability under the EPMI Purchase Transactions on or after the Effective Date.  </w:t>
      </w:r>
    </w:p>
    <w:p>
      <w:pPr>
        <w:pStyle w:val="Heading2"/>
        <w:numPr>
          <w:ilvl w:val="1"/>
          <w:numId w:val="6"/>
        </w:numPr>
        <w:bidi w:val="0"/>
        <w:jc w:val="both"/>
        <w:rPr>
          <w:rFonts w:ascii="Times New Roman" w:hAnsi="Times New Roman"/>
          <w:color w:val="000000"/>
        </w:rPr>
      </w:pPr>
      <w:r>
        <w:rPr>
          <w:rStyle w:val="DeltaViewDeletion"/>
        </w:rPr>
        <w:t xml:space="preserve">(c) </w:t>
      </w:r>
      <w:bookmarkStart w:id="165" w:name="_DV_M82"/>
      <w:bookmarkEnd w:id="165"/>
      <w:r>
        <w:rPr>
          <w:color w:val="000000"/>
        </w:rPr>
        <w:t xml:space="preserve"> </w:t>
      </w:r>
      <w:bookmarkStart w:id="166" w:name="_DV_M83"/>
      <w:bookmarkStart w:id="167" w:name="_Ref502058815"/>
      <w:bookmarkEnd w:id="167"/>
      <w:r>
        <w:rPr>
          <w:color w:val="000000"/>
        </w:rPr>
        <w:t xml:space="preserve">Subject to </w:t>
      </w:r>
      <w:bookmarkStart w:id="168" w:name="_DV_M84"/>
      <w:bookmarkEnd w:id="168"/>
      <w:r>
        <w:rPr>
          <w:color w:val="000000"/>
        </w:rPr>
        <w:t xml:space="preserve">Section 5(c) below, effective on the Effective Date, EPMI, on behalf of itself and its affiliates, hereby irrevocably, fully and completely releases and forever discharges the PGET Released Parties from any and all Claims that EPMI and/or its affiliates ever had, now has or hereafter can, shall or may have against any PGET Released Party for, upon, or by reason of any matter, cause or thing whatsoever, that </w:t>
      </w:r>
      <w:r>
        <w:rPr>
          <w:color w:val="000000"/>
          <w:kern w:val="2"/>
        </w:rPr>
        <w:t xml:space="preserve">directly or indirectly relate to, result from, or arise out of the EPMI Purchase Transactions.  </w:t>
      </w:r>
      <w:r>
        <w:rPr>
          <w:color w:val="000000"/>
        </w:rPr>
        <w:t xml:space="preserve">PGET </w:t>
      </w:r>
      <w:r>
        <w:rPr>
          <w:color w:val="000000"/>
          <w:kern w:val="2"/>
        </w:rPr>
        <w:t>shall not be obligated to perform or discharge, nor does it hereby undertake to perform or discharge, any obligation, duty or liability under the EPMI Purchase Transactions on or after the Effective Date.</w:t>
      </w:r>
      <w:bookmarkEnd w:id="166"/>
    </w:p>
    <w:p>
      <w:pPr>
        <w:pStyle w:val="Heading1"/>
        <w:numPr>
          <w:ilvl w:val="1"/>
          <w:numId w:val="1"/>
        </w:numPr>
        <w:tabs>
          <w:tab w:val="clear" w:pos="720"/>
          <w:tab w:val="left" w:pos="1800" w:leader="none"/>
        </w:tabs>
        <w:bidi w:val="0"/>
        <w:ind w:firstLine="720"/>
        <w:jc w:val="both"/>
        <w:rPr>
          <w:rFonts w:ascii="Times New Roman" w:hAnsi="Times New Roman"/>
          <w:color w:val="000000"/>
        </w:rPr>
      </w:pPr>
      <w:bookmarkStart w:id="169" w:name="_DV_M85"/>
      <w:bookmarkStart w:id="170" w:name="_Ref502046409"/>
      <w:bookmarkEnd w:id="170"/>
      <w:r>
        <w:rPr>
          <w:color w:val="000000"/>
        </w:rPr>
        <w:t>Reserved Rights</w:t>
      </w:r>
      <w:r>
        <w:rPr>
          <w:color w:val="000000"/>
          <w:u w:val="none"/>
        </w:rPr>
        <w:t>.</w:t>
      </w:r>
      <w:bookmarkStart w:id="171" w:name="_Ref502046409_Copy_1"/>
      <w:bookmarkEnd w:id="169"/>
      <w:bookmarkEnd w:id="171"/>
      <w:r>
        <w:rPr>
          <w:color w:val="000000"/>
        </w:rPr>
        <w:t xml:space="preserve">  </w:t>
      </w:r>
    </w:p>
    <w:p>
      <w:pPr>
        <w:pStyle w:val="Heading2"/>
        <w:numPr>
          <w:ilvl w:val="1"/>
          <w:numId w:val="1"/>
        </w:numPr>
        <w:bidi w:val="0"/>
        <w:jc w:val="both"/>
        <w:rPr>
          <w:rFonts w:ascii="Times New Roman" w:hAnsi="Times New Roman"/>
          <w:color w:val="000000"/>
        </w:rPr>
      </w:pPr>
      <w:bookmarkStart w:id="172" w:name="_DV_M87"/>
      <w:bookmarkStart w:id="173" w:name="_Ref502058924"/>
      <w:bookmarkEnd w:id="173"/>
      <w:r>
        <w:rPr>
          <w:color w:val="000000"/>
        </w:rPr>
        <w:t xml:space="preserve">The </w:t>
      </w:r>
      <w:bookmarkStart w:id="174" w:name="_DV_C79"/>
      <w:r>
        <w:rPr>
          <w:rStyle w:val="DeltaViewDeletion"/>
        </w:rPr>
        <w:t>release</w:t>
      </w:r>
      <w:bookmarkStart w:id="175" w:name="_DV_C78"/>
      <w:bookmarkEnd w:id="174"/>
      <w:r>
        <w:rPr>
          <w:rStyle w:val="DeltaViewInsertion"/>
        </w:rPr>
        <w:t>releases</w:t>
      </w:r>
      <w:bookmarkStart w:id="176" w:name="_DV_C79_Copy_1"/>
      <w:bookmarkEnd w:id="175"/>
      <w:bookmarkEnd w:id="176"/>
      <w:r>
        <w:rPr>
          <w:color w:val="000000"/>
        </w:rPr>
        <w:t xml:space="preserve"> set forth in </w:t>
      </w:r>
      <w:bookmarkStart w:id="177" w:name="_DV_M89"/>
      <w:r>
        <w:rPr>
          <w:rStyle w:val="DeltaViewInsertion"/>
        </w:rPr>
        <w:t xml:space="preserve">Sections </w:t>
      </w:r>
      <w:bookmarkStart w:id="178" w:name="_DV_C80"/>
      <w:bookmarkEnd w:id="177"/>
      <w:bookmarkEnd w:id="178"/>
      <w:r>
        <w:rPr>
          <w:vanish/>
          <w:color w:val="000000"/>
        </w:rPr>
        <w:t xml:space="preserve">Section </w:t>
      </w:r>
      <w:r>
        <w:rPr>
          <w:color w:val="000000"/>
        </w:rPr>
        <w:t>4(a</w:t>
      </w:r>
      <w:bookmarkStart w:id="179" w:name="_DV_C82"/>
      <w:r>
        <w:rPr>
          <w:rStyle w:val="DeltaViewInsertion"/>
        </w:rPr>
        <w:t xml:space="preserve">) and </w:t>
      </w:r>
      <w:bookmarkStart w:id="180" w:name="_DV_C81"/>
      <w:bookmarkEnd w:id="179"/>
      <w:r>
        <w:rPr>
          <w:rStyle w:val="DeltaViewInsertion"/>
          <w:vanish/>
        </w:rPr>
        <w:t xml:space="preserve">Section </w:t>
      </w:r>
      <w:r>
        <w:rPr>
          <w:rStyle w:val="DeltaViewInsertion"/>
        </w:rPr>
        <w:t>4(b</w:t>
      </w:r>
      <w:bookmarkStart w:id="181" w:name="_DV_C82_Copy_1"/>
      <w:bookmarkEnd w:id="180"/>
      <w:bookmarkEnd w:id="181"/>
      <w:r>
        <w:rPr>
          <w:color w:val="000000"/>
        </w:rPr>
        <w:t xml:space="preserve">) above shall not affect, and the respective rights of   </w:t>
      </w:r>
      <w:bookmarkStart w:id="182" w:name="_DV_M91"/>
      <w:bookmarkEnd w:id="182"/>
      <w:r>
        <w:rPr>
          <w:color w:val="000000"/>
        </w:rPr>
        <w:t>PGET and AVISTA as against each other shall be reserved, without prejudice whatsoever with respect to, any claim, default or breach relating to the PGET</w:t>
      </w:r>
      <w:bookmarkStart w:id="183" w:name="_DV_C84"/>
      <w:r>
        <w:rPr>
          <w:rStyle w:val="DeltaViewDeletion"/>
        </w:rPr>
        <w:t xml:space="preserve">/AVISTA Agreement </w:t>
      </w:r>
      <w:bookmarkStart w:id="184" w:name="_DV_C83"/>
      <w:bookmarkEnd w:id="183"/>
      <w:r>
        <w:rPr>
          <w:rStyle w:val="DeltaViewInsertion"/>
        </w:rPr>
        <w:t xml:space="preserve"> Purchase Transactions applicable to the performance or failure to perform thereunder of any party thereto prior to the Effective Date, which claim, default or breach has been </w:t>
      </w:r>
      <w:bookmarkStart w:id="185" w:name="_DV_C84_Copy_1"/>
      <w:bookmarkEnd w:id="184"/>
      <w:bookmarkEnd w:id="185"/>
      <w:r>
        <w:rPr>
          <w:color w:val="000000"/>
        </w:rPr>
        <w:t xml:space="preserve">asserted in a writing delivered to </w:t>
      </w:r>
      <w:bookmarkStart w:id="186" w:name="_DV_C86"/>
      <w:r>
        <w:rPr>
          <w:rStyle w:val="DeltaViewDeletion"/>
        </w:rPr>
        <w:t xml:space="preserve">both PGET and EPMI </w:t>
      </w:r>
      <w:bookmarkStart w:id="187" w:name="_DV_C85"/>
      <w:bookmarkEnd w:id="186"/>
      <w:r>
        <w:rPr>
          <w:rStyle w:val="DeltaViewInsertion"/>
        </w:rPr>
        <w:t xml:space="preserve">all Parties to this Agreement </w:t>
      </w:r>
      <w:bookmarkStart w:id="188" w:name="_DV_C86_Copy_1"/>
      <w:bookmarkEnd w:id="187"/>
      <w:bookmarkEnd w:id="188"/>
      <w:r>
        <w:rPr>
          <w:color w:val="000000"/>
        </w:rPr>
        <w:t xml:space="preserve">prior to the Effective Date.  </w:t>
      </w:r>
      <w:bookmarkStart w:id="189" w:name="_DV_M94"/>
      <w:r>
        <w:rPr>
          <w:rStyle w:val="DeltaViewDeletion"/>
        </w:rPr>
        <w:t xml:space="preserve">In such event, </w:t>
      </w:r>
      <w:bookmarkStart w:id="190" w:name="_DV_C87"/>
      <w:bookmarkEnd w:id="189"/>
      <w:bookmarkEnd w:id="190"/>
      <w:r>
        <w:rPr>
          <w:color w:val="000000"/>
        </w:rPr>
        <w:t xml:space="preserve">PGET and AVISTA shall negotiate in good faith to resolve </w:t>
      </w:r>
      <w:bookmarkStart w:id="191" w:name="_DV_M95"/>
      <w:r>
        <w:rPr>
          <w:rStyle w:val="DeltaViewInsertion"/>
        </w:rPr>
        <w:t xml:space="preserve">any </w:t>
      </w:r>
      <w:bookmarkStart w:id="192" w:name="_DV_C88"/>
      <w:bookmarkEnd w:id="191"/>
      <w:bookmarkEnd w:id="192"/>
      <w:r>
        <w:rPr>
          <w:color w:val="000000"/>
        </w:rPr>
        <w:t xml:space="preserve">such </w:t>
      </w:r>
      <w:bookmarkStart w:id="193" w:name="_DV_C90"/>
      <w:r>
        <w:rPr>
          <w:rStyle w:val="DeltaViewDeletion"/>
        </w:rPr>
        <w:t>dispute</w:t>
      </w:r>
      <w:bookmarkStart w:id="194" w:name="_DV_C89"/>
      <w:bookmarkEnd w:id="193"/>
      <w:r>
        <w:rPr>
          <w:rStyle w:val="DeltaViewInsertion"/>
        </w:rPr>
        <w:t>claim, default or breach</w:t>
      </w:r>
      <w:bookmarkStart w:id="195" w:name="_DV_C90_Copy_1"/>
      <w:bookmarkEnd w:id="194"/>
      <w:bookmarkEnd w:id="195"/>
      <w:r>
        <w:rPr>
          <w:color w:val="000000"/>
        </w:rPr>
        <w:t xml:space="preserve">, but the existence of </w:t>
      </w:r>
      <w:bookmarkStart w:id="196" w:name="_DV_M97"/>
      <w:r>
        <w:rPr>
          <w:rStyle w:val="DeltaViewInsertion"/>
        </w:rPr>
        <w:t xml:space="preserve">any </w:t>
      </w:r>
      <w:bookmarkStart w:id="197" w:name="_DV_C91"/>
      <w:bookmarkEnd w:id="196"/>
      <w:bookmarkEnd w:id="197"/>
      <w:r>
        <w:rPr>
          <w:color w:val="000000"/>
        </w:rPr>
        <w:t xml:space="preserve">such dispute shall not affect the </w:t>
      </w:r>
      <w:bookmarkStart w:id="198" w:name="_DV_C93"/>
      <w:r>
        <w:rPr>
          <w:rStyle w:val="DeltaViewDeletion"/>
        </w:rPr>
        <w:t>payments</w:t>
      </w:r>
      <w:bookmarkStart w:id="199" w:name="_DV_C92"/>
      <w:bookmarkEnd w:id="198"/>
      <w:r>
        <w:rPr>
          <w:rStyle w:val="DeltaViewInsertion"/>
        </w:rPr>
        <w:t>payment</w:t>
      </w:r>
      <w:bookmarkStart w:id="200" w:name="_DV_C93_Copy_1"/>
      <w:bookmarkEnd w:id="199"/>
      <w:bookmarkEnd w:id="200"/>
      <w:r>
        <w:rPr>
          <w:color w:val="000000"/>
        </w:rPr>
        <w:t xml:space="preserve"> set forth in </w:t>
      </w:r>
      <w:bookmarkStart w:id="201" w:name="_DV_M99"/>
      <w:bookmarkEnd w:id="201"/>
      <w:r>
        <w:rPr>
          <w:color w:val="000000"/>
        </w:rPr>
        <w:t>Section 7 or the consummation of the transactions contemplated hereunder, and the respective rights of PGET and AVISTA with respect to such dispute shall be preserved</w:t>
      </w:r>
      <w:bookmarkStart w:id="202" w:name="_DV_C95"/>
      <w:r>
        <w:rPr>
          <w:rStyle w:val="DeltaViewInsertion"/>
        </w:rPr>
        <w:t xml:space="preserve"> and shall be governed by the PGET/AVISTA Agreement and the PGET Purchase Transactions (as modified in </w:t>
      </w:r>
      <w:bookmarkStart w:id="203" w:name="_DV_C94"/>
      <w:bookmarkEnd w:id="202"/>
      <w:r>
        <w:rPr>
          <w:rStyle w:val="DeltaViewInsertion"/>
        </w:rPr>
        <w:t>Section 10 hereof) as in effect prior to the effectiveness of this Agreement</w:t>
      </w:r>
      <w:bookmarkStart w:id="204" w:name="_DV_C95_Copy_1"/>
      <w:bookmarkEnd w:id="203"/>
      <w:bookmarkEnd w:id="204"/>
      <w:r>
        <w:rPr>
          <w:color w:val="000000"/>
        </w:rPr>
        <w:t>.</w:t>
      </w:r>
      <w:bookmarkEnd w:id="172"/>
    </w:p>
    <w:p>
      <w:pPr>
        <w:pStyle w:val="Heading2"/>
        <w:numPr>
          <w:ilvl w:val="1"/>
          <w:numId w:val="1"/>
        </w:numPr>
        <w:bidi w:val="0"/>
        <w:jc w:val="both"/>
        <w:rPr>
          <w:rFonts w:ascii="Times New Roman" w:hAnsi="Times New Roman"/>
          <w:color w:val="000000"/>
        </w:rPr>
      </w:pPr>
      <w:bookmarkStart w:id="205" w:name="_DV_M101"/>
      <w:bookmarkStart w:id="206" w:name="_Ref502557431"/>
      <w:bookmarkStart w:id="207" w:name="_Ref502058952"/>
      <w:bookmarkEnd w:id="207"/>
      <w:r>
        <w:rPr>
          <w:color w:val="000000"/>
        </w:rPr>
        <w:t xml:space="preserve">Notwithstanding the assignment of the PGET Purchase Transactions as herein provided or the release set forth in </w:t>
      </w:r>
      <w:bookmarkStart w:id="208" w:name="_DV_M102"/>
      <w:bookmarkEnd w:id="208"/>
      <w:r>
        <w:rPr>
          <w:color w:val="000000"/>
        </w:rPr>
        <w:t>Section 4(a) above, PGET shall remain liable for any and all amounts due thereunder with respect to deliveries of power, if any, made prior to the Effective Date and any invoices outstanding under the PGET Purchase Transactions as of the Effective Date and the rights of AVISTA with respect to such payments and invoices shall be processed until paid in full and the respective rights of PGET and AVISTA with respect to such invoices shall be preserved.</w:t>
      </w:r>
      <w:bookmarkEnd w:id="205"/>
      <w:bookmarkEnd w:id="206"/>
    </w:p>
    <w:p>
      <w:pPr>
        <w:pStyle w:val="Heading2"/>
        <w:numPr>
          <w:ilvl w:val="1"/>
          <w:numId w:val="1"/>
        </w:numPr>
        <w:bidi w:val="0"/>
        <w:jc w:val="both"/>
        <w:rPr>
          <w:rFonts w:ascii="Times New Roman" w:hAnsi="Times New Roman"/>
          <w:color w:val="000000"/>
        </w:rPr>
      </w:pPr>
      <w:bookmarkStart w:id="209" w:name="_DV_M103"/>
      <w:bookmarkStart w:id="210" w:name="_Ref502557500"/>
      <w:bookmarkStart w:id="211" w:name="_Ref502058864"/>
      <w:bookmarkEnd w:id="211"/>
      <w:r>
        <w:rPr>
          <w:color w:val="000000"/>
        </w:rPr>
        <w:t xml:space="preserve">Notwithstanding the termination of the EPMI Purchase Transactions as herein provided or the release set forth in </w:t>
      </w:r>
      <w:bookmarkStart w:id="212" w:name="_DV_M104"/>
      <w:bookmarkEnd w:id="212"/>
      <w:r>
        <w:rPr>
          <w:color w:val="000000"/>
        </w:rPr>
        <w:t xml:space="preserve">Section 4(c) above, </w:t>
      </w:r>
      <w:bookmarkStart w:id="213" w:name="_DV_M105"/>
      <w:r>
        <w:rPr>
          <w:rStyle w:val="DeltaViewInsertion"/>
        </w:rPr>
        <w:t xml:space="preserve">EPMI and </w:t>
      </w:r>
      <w:bookmarkStart w:id="214" w:name="_DV_C96"/>
      <w:bookmarkEnd w:id="213"/>
      <w:bookmarkEnd w:id="214"/>
      <w:r>
        <w:rPr>
          <w:color w:val="000000"/>
        </w:rPr>
        <w:t>PGET shall</w:t>
      </w:r>
      <w:bookmarkStart w:id="215" w:name="_DV_M106"/>
      <w:r>
        <w:rPr>
          <w:rStyle w:val="DeltaViewInsertion"/>
        </w:rPr>
        <w:t xml:space="preserve"> each</w:t>
      </w:r>
      <w:bookmarkStart w:id="216" w:name="_DV_C97"/>
      <w:bookmarkEnd w:id="215"/>
      <w:bookmarkEnd w:id="216"/>
      <w:r>
        <w:rPr>
          <w:color w:val="000000"/>
        </w:rPr>
        <w:t xml:space="preserve"> remain liable for any and all amounts due thereunder with respect to deliveries of power, if any, made prior to the Effective Date and any invoices outstanding under the EPMI Purchase Transactions as of the Effective Date and the rights of </w:t>
      </w:r>
      <w:bookmarkStart w:id="217" w:name="_DV_M107"/>
      <w:r>
        <w:rPr>
          <w:rStyle w:val="DeltaViewInsertion"/>
        </w:rPr>
        <w:t xml:space="preserve">each of </w:t>
      </w:r>
      <w:bookmarkStart w:id="218" w:name="_DV_C98"/>
      <w:bookmarkEnd w:id="217"/>
      <w:bookmarkEnd w:id="218"/>
      <w:r>
        <w:rPr>
          <w:color w:val="000000"/>
        </w:rPr>
        <w:t>EPMI</w:t>
      </w:r>
      <w:bookmarkStart w:id="219" w:name="_DV_M108"/>
      <w:r>
        <w:rPr>
          <w:rStyle w:val="DeltaViewInsertion"/>
        </w:rPr>
        <w:t xml:space="preserve"> and PGET</w:t>
      </w:r>
      <w:bookmarkStart w:id="220" w:name="_DV_C99"/>
      <w:bookmarkEnd w:id="219"/>
      <w:bookmarkEnd w:id="220"/>
      <w:r>
        <w:rPr>
          <w:color w:val="000000"/>
        </w:rPr>
        <w:t xml:space="preserve"> with respect to such payments and invoices shall be processed until paid in full and the respective rights of PGET and EPMI with respect to such invoices shall be preserved.</w:t>
      </w:r>
      <w:bookmarkStart w:id="221" w:name="_Ref502058864_Copy_1"/>
      <w:bookmarkEnd w:id="210"/>
      <w:r>
        <w:rPr>
          <w:rStyle w:val="DeltaViewInsertion"/>
        </w:rPr>
        <w:t xml:space="preserve">  Furthermore, EPMI and PGET expressly acknowledge and agree that the release set forth in </w:t>
      </w:r>
      <w:bookmarkStart w:id="222" w:name="_DV_C100"/>
      <w:bookmarkEnd w:id="221"/>
      <w:r>
        <w:rPr>
          <w:rStyle w:val="DeltaViewInsertion"/>
        </w:rPr>
        <w:t xml:space="preserve">Section 4(c) above and the termination of the EPMI Transactions pursuant to </w:t>
      </w:r>
      <w:bookmarkStart w:id="223" w:name="_DV_C101"/>
      <w:bookmarkEnd w:id="222"/>
      <w:r>
        <w:rPr>
          <w:rStyle w:val="DeltaViewInsertion"/>
        </w:rPr>
        <w:t>Section 6 shall not apply to or affect, and the respective rights of PGET and EPMI as against each other shall be reserved without prejudice whatsoever as to 25 MWh/h of the contract "Quantity" set forth in the Transaction Letter dated July 13, 1999 confirming EPMI Transaction 1.  For sake of certainty, EPMI and PGET expressly acknowledge and agree that on and after the Effective Date, the section titled "Quantity" in such Transaction Letter, as a result of this Agreement, shall provide as follows: "Seller will deliver, or arrange for delivery to Buyer at the Delivery Point, 25 MWh/h of  Firm Energy during the Delivery Hours of the Term" and as so modified EPMI Transaction 1 shall remain in full force and effect in accordance with the PGET/EPMI Agreement and the Transaction Letter dated July 13, 1999.</w:t>
      </w:r>
      <w:bookmarkEnd w:id="209"/>
      <w:bookmarkEnd w:id="223"/>
    </w:p>
    <w:p>
      <w:pPr>
        <w:pStyle w:val="Heading1"/>
        <w:numPr>
          <w:ilvl w:val="1"/>
          <w:numId w:val="1"/>
        </w:numPr>
        <w:tabs>
          <w:tab w:val="clear" w:pos="720"/>
          <w:tab w:val="left" w:pos="1800" w:leader="none"/>
        </w:tabs>
        <w:bidi w:val="0"/>
        <w:ind w:firstLine="720"/>
        <w:jc w:val="both"/>
        <w:rPr>
          <w:rFonts w:ascii="Times New Roman" w:hAnsi="Times New Roman"/>
          <w:color w:val="000000"/>
          <w:u w:val="none"/>
        </w:rPr>
      </w:pPr>
      <w:bookmarkStart w:id="224" w:name="_DV_M109"/>
      <w:bookmarkStart w:id="225" w:name="_Ref502202718"/>
      <w:bookmarkEnd w:id="225"/>
      <w:r>
        <w:rPr>
          <w:color w:val="000000"/>
        </w:rPr>
        <w:t>Termination of EPMI Purchase Transactions</w:t>
      </w:r>
      <w:bookmarkStart w:id="226" w:name="_DV_C104"/>
      <w:r>
        <w:rPr>
          <w:rStyle w:val="DeltaViewDeletion"/>
          <w:u w:val="none"/>
        </w:rPr>
        <w:t>.</w:t>
      </w:r>
      <w:bookmarkStart w:id="227" w:name="_DV_C103"/>
      <w:bookmarkEnd w:id="226"/>
      <w:r>
        <w:rPr>
          <w:rStyle w:val="DeltaViewInsertion"/>
        </w:rPr>
        <w:t>; Reaffirmation of 25 MWh/h of EPMI Transaction 1.</w:t>
      </w:r>
      <w:bookmarkStart w:id="228" w:name="_DV_C104_Copy_1"/>
      <w:bookmarkEnd w:id="227"/>
      <w:bookmarkEnd w:id="228"/>
      <w:r>
        <w:rPr>
          <w:color w:val="000000"/>
          <w:u w:val="none"/>
        </w:rPr>
        <w:t xml:space="preserve">  In consideration of the assignment by PGET of the PGET Purchase Transactions and the settlement payment by EPMI of the amount specified in </w:t>
      </w:r>
      <w:bookmarkStart w:id="229" w:name="_DV_M111"/>
      <w:bookmarkEnd w:id="229"/>
      <w:r>
        <w:rPr>
          <w:color w:val="000000"/>
          <w:u w:val="none"/>
        </w:rPr>
        <w:t xml:space="preserve">Section 7 below to PGET, the EPMI Purchase Transactions shall be terminated and of no further force or effect effective as of and from the Effective Date, except as contemplated by </w:t>
      </w:r>
      <w:bookmarkStart w:id="230" w:name="_DV_M112"/>
      <w:bookmarkEnd w:id="230"/>
      <w:r>
        <w:rPr>
          <w:color w:val="000000"/>
          <w:u w:val="none"/>
        </w:rPr>
        <w:t xml:space="preserve">Section 5(c) above.   </w:t>
      </w:r>
      <w:bookmarkStart w:id="231" w:name="_Ref502202718_Copy_1"/>
      <w:bookmarkEnd w:id="224"/>
      <w:r>
        <w:rPr>
          <w:rStyle w:val="DeltaViewInsertion"/>
        </w:rPr>
        <w:t xml:space="preserve"> With respect to EPMI Transaction 1, EPMI and PGET hereby agree to reaffirm such transaction on the date hereof, but only to the extent of 25 MWh/h.</w:t>
      </w:r>
      <w:bookmarkEnd w:id="231"/>
    </w:p>
    <w:p>
      <w:pPr>
        <w:pStyle w:val="Heading1"/>
        <w:numPr>
          <w:ilvl w:val="0"/>
          <w:numId w:val="1"/>
        </w:numPr>
        <w:bidi w:val="0"/>
        <w:jc w:val="both"/>
        <w:rPr>
          <w:rFonts w:ascii="Times New Roman" w:hAnsi="Times New Roman"/>
          <w:color w:val="000000"/>
          <w:u w:val="none"/>
        </w:rPr>
      </w:pPr>
      <w:bookmarkStart w:id="232" w:name="_DV_M113"/>
      <w:bookmarkStart w:id="233" w:name="_Ref501971764"/>
      <w:bookmarkEnd w:id="233"/>
      <w:r>
        <w:rPr>
          <w:color w:val="000000"/>
        </w:rPr>
        <w:t>EPMI Cash Settlement Payment</w:t>
      </w:r>
      <w:r>
        <w:rPr>
          <w:color w:val="000000"/>
          <w:u w:val="none"/>
        </w:rPr>
        <w:t xml:space="preserve">.  </w:t>
      </w:r>
      <w:bookmarkStart w:id="234" w:name="_DV_C107"/>
      <w:r>
        <w:rPr>
          <w:rStyle w:val="DeltaViewDeletion"/>
          <w:u w:val="none"/>
        </w:rPr>
        <w:t>On the Effective Date, in</w:t>
      </w:r>
      <w:bookmarkStart w:id="235" w:name="_DV_C106"/>
      <w:bookmarkEnd w:id="234"/>
      <w:r>
        <w:rPr>
          <w:rStyle w:val="DeltaViewInsertion"/>
        </w:rPr>
        <w:t>In</w:t>
      </w:r>
      <w:bookmarkStart w:id="236" w:name="_DV_C107_Copy_1"/>
      <w:bookmarkEnd w:id="235"/>
      <w:bookmarkEnd w:id="236"/>
      <w:r>
        <w:rPr>
          <w:color w:val="000000"/>
          <w:u w:val="none"/>
        </w:rPr>
        <w:t xml:space="preserve"> consideration of the settlement and termination of the EPMI Purchase Transactions </w:t>
      </w:r>
      <w:bookmarkStart w:id="237" w:name="_DV_M115"/>
      <w:r>
        <w:rPr>
          <w:rStyle w:val="DeltaViewInsertion"/>
        </w:rPr>
        <w:t xml:space="preserve">as described above </w:t>
      </w:r>
      <w:bookmarkStart w:id="238" w:name="_DV_C108"/>
      <w:bookmarkEnd w:id="237"/>
      <w:bookmarkEnd w:id="238"/>
      <w:r>
        <w:rPr>
          <w:color w:val="000000"/>
          <w:u w:val="none"/>
        </w:rPr>
        <w:t xml:space="preserve">and the assignment of the PGET Purchase Transactions effected by this Agreement, </w:t>
      </w:r>
      <w:bookmarkStart w:id="239" w:name="_DV_M116"/>
      <w:r>
        <w:rPr>
          <w:rStyle w:val="DeltaViewInsertion"/>
        </w:rPr>
        <w:t xml:space="preserve">on the Effective Date </w:t>
      </w:r>
      <w:bookmarkStart w:id="240" w:name="_DV_C109"/>
      <w:bookmarkEnd w:id="239"/>
      <w:bookmarkEnd w:id="240"/>
      <w:r>
        <w:rPr>
          <w:color w:val="000000"/>
          <w:u w:val="none"/>
        </w:rPr>
        <w:t>EPMI shall pay PGET a settlement payment in an amount equal to [           ] dollars ($____) by wire transfer of immediately available funds to the account set forth below.</w:t>
      </w:r>
      <w:bookmarkEnd w:id="232"/>
    </w:p>
    <w:p>
      <w:pPr>
        <w:pStyle w:val="BodyText2"/>
        <w:keepNext w:val="true"/>
        <w:keepLines/>
        <w:bidi w:val="0"/>
        <w:spacing w:before="0" w:after="0"/>
        <w:jc w:val="both"/>
        <w:rPr>
          <w:rFonts w:ascii="Times New Roman" w:hAnsi="Times New Roman"/>
          <w:i/>
          <w:i/>
          <w:color w:val="000000"/>
        </w:rPr>
      </w:pPr>
      <w:bookmarkStart w:id="241" w:name="_DV_M117"/>
      <w:bookmarkEnd w:id="241"/>
      <w:r>
        <w:rPr>
          <w:color w:val="000000"/>
        </w:rPr>
        <w:t>Bank:</w:t>
      </w:r>
    </w:p>
    <w:p>
      <w:pPr>
        <w:pStyle w:val="BodyText2"/>
        <w:keepNext w:val="true"/>
        <w:keepLines/>
        <w:bidi w:val="0"/>
        <w:spacing w:before="0" w:after="0"/>
        <w:jc w:val="both"/>
        <w:rPr>
          <w:rFonts w:ascii="Times New Roman" w:hAnsi="Times New Roman"/>
          <w:color w:val="000000"/>
          <w:u w:val="single"/>
        </w:rPr>
      </w:pPr>
      <w:bookmarkStart w:id="242" w:name="_DV_M118"/>
      <w:bookmarkEnd w:id="242"/>
      <w:r>
        <w:rPr>
          <w:color w:val="000000"/>
        </w:rPr>
        <w:t xml:space="preserve">ABA #:  </w:t>
      </w:r>
    </w:p>
    <w:p>
      <w:pPr>
        <w:pStyle w:val="BodyText2"/>
        <w:keepNext w:val="true"/>
        <w:keepLines/>
        <w:bidi w:val="0"/>
        <w:spacing w:before="0" w:after="0"/>
        <w:jc w:val="both"/>
        <w:rPr>
          <w:rFonts w:ascii="Times New Roman" w:hAnsi="Times New Roman"/>
          <w:color w:val="000000"/>
          <w:u w:val="single"/>
        </w:rPr>
      </w:pPr>
      <w:bookmarkStart w:id="243" w:name="_DV_M119"/>
      <w:bookmarkEnd w:id="243"/>
      <w:r>
        <w:rPr>
          <w:color w:val="000000"/>
        </w:rPr>
        <w:t xml:space="preserve">Acct. #:  </w:t>
      </w:r>
    </w:p>
    <w:p>
      <w:pPr>
        <w:pStyle w:val="BodyText2"/>
        <w:keepNext w:val="true"/>
        <w:keepLines/>
        <w:bidi w:val="0"/>
        <w:spacing w:before="0" w:after="0"/>
        <w:jc w:val="both"/>
        <w:rPr>
          <w:rFonts w:ascii="Times New Roman" w:hAnsi="Times New Roman"/>
          <w:color w:val="000000"/>
        </w:rPr>
      </w:pPr>
      <w:bookmarkStart w:id="244" w:name="_DV_M120"/>
      <w:bookmarkEnd w:id="244"/>
      <w:r>
        <w:rPr>
          <w:color w:val="000000"/>
        </w:rPr>
        <w:t xml:space="preserve">Attn: </w:t>
      </w:r>
    </w:p>
    <w:p>
      <w:pPr>
        <w:pStyle w:val="BodyText2"/>
        <w:keepNext w:val="true"/>
        <w:keepLines/>
        <w:bidi w:val="0"/>
        <w:spacing w:before="0" w:after="0"/>
        <w:jc w:val="both"/>
        <w:rPr>
          <w:rFonts w:ascii="Times New Roman" w:hAnsi="Times New Roman"/>
          <w:color w:val="000000"/>
        </w:rPr>
      </w:pPr>
      <w:bookmarkStart w:id="245" w:name="_DV_M121"/>
      <w:bookmarkEnd w:id="245"/>
      <w:r>
        <w:rPr>
          <w:color w:val="000000"/>
        </w:rPr>
        <w:t xml:space="preserve">Ref: </w:t>
      </w:r>
    </w:p>
    <w:p>
      <w:pPr>
        <w:pStyle w:val="BodyText2"/>
        <w:keepNext w:val="true"/>
        <w:keepLines/>
        <w:bidi w:val="0"/>
        <w:spacing w:before="0" w:after="0"/>
        <w:jc w:val="both"/>
        <w:rPr>
          <w:rFonts w:ascii="Times New Roman" w:hAnsi="Times New Roman"/>
          <w:color w:val="000000"/>
        </w:rPr>
      </w:pPr>
      <w:r>
        <w:rPr>
          <w:color w:val="000000"/>
        </w:rPr>
      </w:r>
    </w:p>
    <w:p>
      <w:pPr>
        <w:pStyle w:val="Heading1"/>
        <w:keepLines/>
        <w:numPr>
          <w:ilvl w:val="0"/>
          <w:numId w:val="7"/>
        </w:numPr>
        <w:bidi w:val="0"/>
        <w:spacing w:before="0" w:after="0"/>
        <w:jc w:val="both"/>
        <w:rPr>
          <w:rFonts w:ascii="Times New Roman" w:hAnsi="Times New Roman"/>
          <w:color w:val="000000"/>
          <w:u w:val="none"/>
        </w:rPr>
      </w:pPr>
      <w:bookmarkStart w:id="246" w:name="_DV_C110"/>
      <w:r>
        <w:rPr>
          <w:rStyle w:val="DeltaViewInsertion"/>
        </w:rPr>
        <w:t xml:space="preserve">Return of AVISTA Collateral.  In consideration of the consent by AVISTA to the assignment of the PGET Purchase Transactions to EPMI effected by this Agreement, on the Effective Date PGET shall return to AVISTA the AVISTA Collateral, plus any applicable interest as agreed to by PGET and AVISTA, by wire transfer of immediately available funds to the account set forth below. </w:t>
      </w:r>
      <w:bookmarkEnd w:id="246"/>
    </w:p>
    <w:p>
      <w:pPr>
        <w:pStyle w:val="BodyText2"/>
        <w:keepNext w:val="true"/>
        <w:keepLines/>
        <w:bidi w:val="0"/>
        <w:spacing w:before="0" w:after="0"/>
        <w:jc w:val="both"/>
        <w:rPr>
          <w:rFonts w:ascii="Times New Roman" w:hAnsi="Times New Roman"/>
          <w:i/>
          <w:i/>
          <w:color w:val="000000"/>
        </w:rPr>
      </w:pPr>
      <w:bookmarkStart w:id="247" w:name="_DV_C111"/>
      <w:r>
        <w:rPr>
          <w:rStyle w:val="DeltaViewInsertion"/>
        </w:rPr>
        <w:t>Bank:  Bank of America, San Francisco</w:t>
      </w:r>
      <w:bookmarkEnd w:id="247"/>
    </w:p>
    <w:p>
      <w:pPr>
        <w:pStyle w:val="BodyText2"/>
        <w:keepNext w:val="true"/>
        <w:keepLines/>
        <w:bidi w:val="0"/>
        <w:spacing w:before="0" w:after="0"/>
        <w:jc w:val="both"/>
        <w:rPr>
          <w:rFonts w:ascii="Times New Roman" w:hAnsi="Times New Roman"/>
          <w:color w:val="000000"/>
          <w:u w:val="single"/>
        </w:rPr>
      </w:pPr>
      <w:bookmarkStart w:id="248" w:name="_DV_C112"/>
      <w:r>
        <w:rPr>
          <w:rStyle w:val="DeltaViewInsertion"/>
        </w:rPr>
        <w:t>ABA #:  121000358</w:t>
      </w:r>
      <w:bookmarkEnd w:id="248"/>
    </w:p>
    <w:p>
      <w:pPr>
        <w:pStyle w:val="BodyText2"/>
        <w:keepNext w:val="true"/>
        <w:keepLines/>
        <w:bidi w:val="0"/>
        <w:spacing w:before="0" w:after="0"/>
        <w:jc w:val="both"/>
        <w:rPr>
          <w:rFonts w:ascii="Times New Roman" w:hAnsi="Times New Roman"/>
          <w:color w:val="000000"/>
        </w:rPr>
      </w:pPr>
      <w:bookmarkStart w:id="249" w:name="_DV_C113"/>
      <w:r>
        <w:rPr>
          <w:rStyle w:val="DeltaViewInsertion"/>
        </w:rPr>
        <w:t>Beneficiary:  Avista Energy, Inc.</w:t>
      </w:r>
      <w:bookmarkEnd w:id="249"/>
    </w:p>
    <w:p>
      <w:pPr>
        <w:pStyle w:val="BodyText2"/>
        <w:keepNext w:val="true"/>
        <w:keepLines/>
        <w:bidi w:val="0"/>
        <w:spacing w:before="0" w:after="0"/>
        <w:jc w:val="both"/>
        <w:rPr>
          <w:rFonts w:ascii="Times New Roman" w:hAnsi="Times New Roman"/>
          <w:color w:val="000000"/>
          <w:u w:val="single"/>
        </w:rPr>
      </w:pPr>
      <w:bookmarkStart w:id="250" w:name="_DV_C114"/>
      <w:r>
        <w:rPr>
          <w:rStyle w:val="DeltaViewInsertion"/>
        </w:rPr>
        <w:t>Beneficiary Account:  12330-26461</w:t>
      </w:r>
      <w:bookmarkEnd w:id="250"/>
    </w:p>
    <w:p>
      <w:pPr>
        <w:pStyle w:val="BodyText2"/>
        <w:keepNext w:val="true"/>
        <w:keepLines/>
        <w:bidi w:val="0"/>
        <w:spacing w:before="0" w:after="0"/>
        <w:jc w:val="both"/>
        <w:rPr>
          <w:rFonts w:ascii="Times New Roman" w:hAnsi="Times New Roman"/>
          <w:color w:val="000000"/>
          <w:u w:val="single"/>
        </w:rPr>
      </w:pPr>
      <w:bookmarkStart w:id="251" w:name="_DV_C115"/>
      <w:r>
        <w:rPr>
          <w:rStyle w:val="DeltaViewInsertion"/>
        </w:rPr>
        <w:t>Ref:  Cash Collateral Return</w:t>
      </w:r>
      <w:bookmarkEnd w:id="251"/>
    </w:p>
    <w:p>
      <w:pPr>
        <w:pStyle w:val="Normal"/>
        <w:bidi w:val="0"/>
        <w:jc w:val="start"/>
        <w:rPr>
          <w:color w:val="000000"/>
        </w:rPr>
      </w:pPr>
      <w:r>
        <w:rPr>
          <w:color w:val="000000"/>
        </w:rPr>
      </w:r>
    </w:p>
    <w:p>
      <w:pPr>
        <w:pStyle w:val="Normal"/>
        <w:bidi w:val="0"/>
        <w:jc w:val="start"/>
        <w:rPr>
          <w:color w:val="000000"/>
        </w:rPr>
      </w:pPr>
      <w:bookmarkStart w:id="252" w:name="_DV_C116"/>
      <w:r>
        <w:rPr>
          <w:rStyle w:val="DeltaViewInsertion"/>
        </w:rPr>
        <w:t>In the event of any dispute as to the amount of applicable interest, PGET shall nonetheless return to AVISTA the AVISTA Collateral (including the amount of interest that is not in dispute) on the Effective Date, and in no event shall any such dispute invalidate this Agreement, be considered a breach of this Agreement by either AVISTA or PGET or allow for the suspension by any Party hereto of their respective obligations hereunder.  If there is any dispute with respect to the amount of such interest, AVISTA and PGET shall negotiate in good faith to resolve such dispute as promptly as possible.</w:t>
      </w:r>
      <w:bookmarkEnd w:id="252"/>
    </w:p>
    <w:p>
      <w:pPr>
        <w:pStyle w:val="Normal"/>
        <w:bidi w:val="0"/>
        <w:jc w:val="start"/>
        <w:rPr>
          <w:color w:val="000000"/>
        </w:rPr>
      </w:pPr>
      <w:r>
        <w:rPr>
          <w:color w:val="000000"/>
        </w:rPr>
      </w:r>
    </w:p>
    <w:p>
      <w:pPr>
        <w:pStyle w:val="Heading1"/>
        <w:numPr>
          <w:ilvl w:val="0"/>
          <w:numId w:val="8"/>
        </w:numPr>
        <w:bidi w:val="0"/>
        <w:jc w:val="both"/>
        <w:rPr>
          <w:rFonts w:ascii="Times New Roman" w:hAnsi="Times New Roman"/>
          <w:color w:val="000000"/>
          <w:u w:val="none"/>
        </w:rPr>
      </w:pPr>
      <w:r>
        <w:rPr>
          <w:rStyle w:val="DeltaViewDeletion"/>
          <w:kern w:val="0"/>
          <w:u w:val="none"/>
        </w:rPr>
        <w:t xml:space="preserve">Section 8. </w:t>
      </w:r>
      <w:bookmarkStart w:id="253" w:name="_DV_M122"/>
      <w:bookmarkEnd w:id="253"/>
      <w:r>
        <w:rPr>
          <w:color w:val="000000"/>
        </w:rPr>
        <w:t>PGET Purchase Transactions to be Governed by EPMI/AVISTA Master Agreement</w:t>
      </w:r>
      <w:r>
        <w:rPr>
          <w:color w:val="000000"/>
          <w:u w:val="none"/>
        </w:rPr>
        <w:t xml:space="preserve">.  AVISTA and EPMI agree that as of and from the Effective Date, the PGET Purchase Transactions shall be governed by, and the </w:t>
      </w:r>
      <w:bookmarkStart w:id="254" w:name="_DV_C118"/>
      <w:r>
        <w:rPr>
          <w:rStyle w:val="DeltaViewDeletion"/>
          <w:u w:val="none"/>
        </w:rPr>
        <w:t>parties</w:t>
      </w:r>
      <w:bookmarkStart w:id="255" w:name="_DV_C117"/>
      <w:bookmarkEnd w:id="254"/>
      <w:r>
        <w:rPr>
          <w:rStyle w:val="DeltaViewInsertion"/>
        </w:rPr>
        <w:t>Parties</w:t>
      </w:r>
      <w:bookmarkStart w:id="256" w:name="_DV_C118_Copy_1"/>
      <w:bookmarkEnd w:id="255"/>
      <w:bookmarkEnd w:id="256"/>
      <w:r>
        <w:rPr>
          <w:color w:val="000000"/>
          <w:u w:val="none"/>
        </w:rPr>
        <w:t>' respective rights and obligations shall be determined under, the EPMI/AVISTA Master Agreement, including without limitation</w:t>
      </w:r>
      <w:bookmarkStart w:id="257" w:name="_DV_M124"/>
      <w:r>
        <w:rPr>
          <w:rStyle w:val="DeltaViewInsertion"/>
        </w:rPr>
        <w:t>,</w:t>
      </w:r>
      <w:bookmarkStart w:id="258" w:name="_DV_C119"/>
      <w:bookmarkEnd w:id="257"/>
      <w:bookmarkEnd w:id="258"/>
      <w:r>
        <w:rPr>
          <w:color w:val="000000"/>
          <w:u w:val="none"/>
        </w:rPr>
        <w:t xml:space="preserve"> the</w:t>
      </w:r>
      <w:bookmarkStart w:id="259" w:name="_DV_M125"/>
      <w:r>
        <w:rPr>
          <w:rStyle w:val="DeltaViewInsertion"/>
        </w:rPr>
        <w:t xml:space="preserve"> failure to deliver power,</w:t>
      </w:r>
      <w:bookmarkStart w:id="260" w:name="_DV_C120"/>
      <w:bookmarkEnd w:id="259"/>
      <w:bookmarkEnd w:id="260"/>
      <w:r>
        <w:rPr>
          <w:color w:val="000000"/>
          <w:u w:val="none"/>
        </w:rPr>
        <w:t xml:space="preserve"> termination, liquidation, netting and set-off provisions provided therein</w:t>
      </w:r>
      <w:bookmarkStart w:id="261" w:name="_DV_M126"/>
      <w:r>
        <w:rPr>
          <w:rStyle w:val="DeltaViewInsertion"/>
        </w:rPr>
        <w:t>, in lieu of the WSPP Agreement</w:t>
      </w:r>
      <w:bookmarkStart w:id="262" w:name="_DV_C121"/>
      <w:bookmarkEnd w:id="261"/>
      <w:bookmarkEnd w:id="262"/>
      <w:r>
        <w:rPr>
          <w:color w:val="000000"/>
          <w:u w:val="none"/>
        </w:rPr>
        <w:t xml:space="preserve">.  In the event of a conflict between the terms of the PGET Purchase Transactions </w:t>
      </w:r>
      <w:bookmarkStart w:id="263" w:name="_DV_M127"/>
      <w:r>
        <w:rPr>
          <w:rStyle w:val="DeltaViewInsertion"/>
        </w:rPr>
        <w:t xml:space="preserve">(except with respect to references to the WSPP Agreement) </w:t>
      </w:r>
      <w:bookmarkStart w:id="264" w:name="_DV_C122"/>
      <w:bookmarkEnd w:id="263"/>
      <w:bookmarkEnd w:id="264"/>
      <w:r>
        <w:rPr>
          <w:color w:val="000000"/>
          <w:u w:val="none"/>
        </w:rPr>
        <w:t xml:space="preserve">and the terms of the EPMI/AVISTA Agreement, the terms of the PGET Purchase Transactions shall govern (and any obligation or right under the PGET Purchase Transactions pertaining to PGET shall be deemed to pertain to EPMI).   </w:t>
      </w:r>
      <w:bookmarkStart w:id="265" w:name="_DV_M128"/>
      <w:bookmarkEnd w:id="265"/>
      <w:r>
        <w:rPr>
          <w:color w:val="000000"/>
          <w:u w:val="none"/>
        </w:rPr>
        <w:t xml:space="preserve">In furtherance of </w:t>
      </w:r>
      <w:bookmarkStart w:id="266" w:name="_DV_M129"/>
      <w:bookmarkEnd w:id="266"/>
      <w:r>
        <w:rPr>
          <w:color w:val="000000"/>
          <w:u w:val="none"/>
        </w:rPr>
        <w:t xml:space="preserve">Section 1(c) above (but not in limitation thereof), promptly after </w:t>
      </w:r>
      <w:bookmarkStart w:id="267" w:name="_DV_M130"/>
      <w:r>
        <w:rPr>
          <w:rStyle w:val="DeltaViewInsertion"/>
        </w:rPr>
        <w:t xml:space="preserve">the </w:t>
      </w:r>
      <w:bookmarkStart w:id="268" w:name="_DV_C123"/>
      <w:bookmarkEnd w:id="267"/>
      <w:bookmarkEnd w:id="268"/>
      <w:r>
        <w:rPr>
          <w:color w:val="000000"/>
          <w:u w:val="none"/>
        </w:rPr>
        <w:t xml:space="preserve">Effective Date, AVISTA and EPMI further agree that the </w:t>
      </w:r>
      <w:bookmarkStart w:id="269" w:name="_DV_C125"/>
      <w:r>
        <w:rPr>
          <w:rStyle w:val="DeltaViewDeletion"/>
          <w:u w:val="none"/>
        </w:rPr>
        <w:t>parties</w:t>
      </w:r>
      <w:bookmarkStart w:id="270" w:name="_DV_C124"/>
      <w:bookmarkEnd w:id="269"/>
      <w:r>
        <w:rPr>
          <w:rStyle w:val="DeltaViewInsertion"/>
        </w:rPr>
        <w:t>Parties</w:t>
      </w:r>
      <w:bookmarkStart w:id="271" w:name="_DV_C125_Copy_1"/>
      <w:bookmarkEnd w:id="270"/>
      <w:bookmarkEnd w:id="271"/>
      <w:r>
        <w:rPr>
          <w:color w:val="000000"/>
          <w:u w:val="none"/>
        </w:rPr>
        <w:t xml:space="preserve"> shall take all actions and do all things necessary to amend and restate the PGET Purchase Transactions in order to correctly set forth the parties to the PGET Purchase Transactions and the governance of such transactions by the EPMI/AVISTA Master Agreement.</w:t>
      </w:r>
    </w:p>
    <w:p>
      <w:pPr>
        <w:pStyle w:val="Heading1"/>
        <w:numPr>
          <w:ilvl w:val="0"/>
          <w:numId w:val="9"/>
        </w:numPr>
        <w:bidi w:val="0"/>
        <w:jc w:val="both"/>
        <w:rPr>
          <w:rFonts w:ascii="Times New Roman" w:hAnsi="Times New Roman"/>
          <w:color w:val="000000"/>
          <w:u w:val="none"/>
        </w:rPr>
      </w:pPr>
      <w:bookmarkStart w:id="272" w:name="_DV_C126"/>
      <w:bookmarkStart w:id="273" w:name="_Ref502574236"/>
      <w:r>
        <w:rPr>
          <w:rStyle w:val="DeltaViewInsertion"/>
        </w:rPr>
        <w:t>Acknowledgment and Agreement Regarding Errors With Respect to PGET Purchase Transactions' Confirmations.  AVISTA and PGET acknowledge and agree that in reviewing the executed Transaction Letters confirming the PGET Purchase Transactions, they discovered certain errors therein which AVISTA and PGET mutually desire to correct, such corrections to be effective for all periods prior to and after the Effective Date, as if such confirmations never contained such errors.  In furtherance thereof, the Parties hereto agree that such Transaction Letters shall be corrected to provide as follows:</w:t>
      </w:r>
      <w:bookmarkEnd w:id="272"/>
      <w:bookmarkEnd w:id="273"/>
    </w:p>
    <w:p>
      <w:pPr>
        <w:pStyle w:val="Heading2"/>
        <w:numPr>
          <w:ilvl w:val="1"/>
          <w:numId w:val="10"/>
        </w:numPr>
        <w:bidi w:val="0"/>
        <w:jc w:val="both"/>
        <w:rPr>
          <w:rFonts w:ascii="Times New Roman" w:hAnsi="Times New Roman"/>
          <w:color w:val="000000"/>
        </w:rPr>
      </w:pPr>
      <w:bookmarkStart w:id="274" w:name="_DV_C127"/>
      <w:bookmarkStart w:id="275" w:name="_Ref502571247"/>
      <w:r>
        <w:rPr>
          <w:rStyle w:val="DeltaViewInsertion"/>
        </w:rPr>
        <w:t>With respect to the Transaction Letter dated July 8, 1999 (Confirmation Number 403862) confirming the trade agreed to July 7, 1999, the section titled "Total Volumes" (including all numerical figures in such section, whether typewritten or modified by handwriting) is hereby deleted in its entirety; and</w:t>
      </w:r>
      <w:bookmarkEnd w:id="274"/>
      <w:bookmarkEnd w:id="275"/>
    </w:p>
    <w:p>
      <w:pPr>
        <w:pStyle w:val="Heading2"/>
        <w:numPr>
          <w:ilvl w:val="1"/>
          <w:numId w:val="11"/>
        </w:numPr>
        <w:bidi w:val="0"/>
        <w:jc w:val="start"/>
        <w:rPr>
          <w:rFonts w:ascii="Times New Roman" w:hAnsi="Times New Roman"/>
          <w:color w:val="000000"/>
        </w:rPr>
      </w:pPr>
      <w:bookmarkStart w:id="276" w:name="_DV_LI0"/>
      <w:bookmarkStart w:id="277" w:name="_Ref502571250"/>
      <w:bookmarkStart w:id="278" w:name="_DV_C128"/>
      <w:bookmarkEnd w:id="278"/>
      <w:r>
        <w:rPr>
          <w:rStyle w:val="DeltaViewInsertion"/>
        </w:rPr>
        <w:t>With respect to the Transaction Letter dated July 14, 1999 (Confirmation Number 404335) confirming the trade agreed to July 13, 1999, (i) the phrase "including NERC holidays only" contained at the end of the section titled "Term" is hereby deleted in its entirety and (ii) the section titled "Total Volumes" (including all numerical figures in such section, whether typewritten or modified by handwriting) is hereby deleted in its entirety.</w:t>
      </w:r>
      <w:bookmarkEnd w:id="276"/>
      <w:bookmarkEnd w:id="277"/>
    </w:p>
    <w:p>
      <w:pPr>
        <w:pStyle w:val="Normal"/>
        <w:bidi w:val="0"/>
        <w:jc w:val="start"/>
        <w:rPr>
          <w:color w:val="000000"/>
        </w:rPr>
      </w:pPr>
      <w:bookmarkStart w:id="279" w:name="_DV_C129"/>
      <w:r>
        <w:rPr>
          <w:rStyle w:val="DeltaViewInsertion"/>
        </w:rPr>
        <w:t>AVISTA and EPMI specifically agree and acknowledge that the PGET Purchase Transactions (as corrected above) shall be in full force and effect on and after the Effective Date.</w:t>
      </w:r>
      <w:bookmarkEnd w:id="279"/>
    </w:p>
    <w:p>
      <w:pPr>
        <w:pStyle w:val="Normal"/>
        <w:bidi w:val="0"/>
        <w:jc w:val="start"/>
        <w:rPr>
          <w:color w:val="000000"/>
        </w:rPr>
      </w:pPr>
      <w:r>
        <w:rPr>
          <w:color w:val="000000"/>
        </w:rPr>
      </w:r>
    </w:p>
    <w:p>
      <w:pPr>
        <w:pStyle w:val="Heading1"/>
        <w:numPr>
          <w:ilvl w:val="0"/>
          <w:numId w:val="12"/>
        </w:numPr>
        <w:bidi w:val="0"/>
        <w:jc w:val="both"/>
        <w:rPr>
          <w:rFonts w:ascii="Times New Roman" w:hAnsi="Times New Roman"/>
          <w:color w:val="000000"/>
        </w:rPr>
      </w:pPr>
      <w:r>
        <w:rPr>
          <w:rStyle w:val="DeltaViewDeletion"/>
          <w:kern w:val="0"/>
          <w:u w:val="none"/>
        </w:rPr>
        <w:t xml:space="preserve">Section 9. </w:t>
      </w:r>
      <w:bookmarkStart w:id="280" w:name="_DV_M132"/>
      <w:bookmarkEnd w:id="280"/>
      <w:r>
        <w:rPr>
          <w:color w:val="000000"/>
        </w:rPr>
        <w:t>Counterparts</w:t>
      </w:r>
      <w:r>
        <w:rPr>
          <w:color w:val="000000"/>
          <w:u w:val="none"/>
        </w:rPr>
        <w:t>.  This Agreement may be executed in any number of counterparts, each of which shall be deemed an original instrument and all of which when taken together shall constitute one and the same agreement.</w:t>
      </w:r>
    </w:p>
    <w:p>
      <w:pPr>
        <w:pStyle w:val="Heading1"/>
        <w:numPr>
          <w:ilvl w:val="0"/>
          <w:numId w:val="13"/>
        </w:numPr>
        <w:bidi w:val="0"/>
        <w:jc w:val="both"/>
        <w:rPr>
          <w:rFonts w:ascii="Times New Roman" w:hAnsi="Times New Roman"/>
          <w:color w:val="000000"/>
        </w:rPr>
      </w:pPr>
      <w:r>
        <w:rPr>
          <w:rStyle w:val="DeltaViewDeletion"/>
          <w:kern w:val="0"/>
          <w:u w:val="none"/>
        </w:rPr>
        <w:t xml:space="preserve">Section 10. </w:t>
      </w:r>
      <w:bookmarkStart w:id="281" w:name="_DV_M133"/>
      <w:bookmarkEnd w:id="281"/>
      <w:r>
        <w:rPr>
          <w:color w:val="000000"/>
        </w:rPr>
        <w:t>Governing Law</w:t>
      </w:r>
      <w:r>
        <w:rPr>
          <w:color w:val="000000"/>
          <w:u w:val="none"/>
        </w:rPr>
        <w:t xml:space="preserve">.    THIS AGREEMENT AND THE RIGHTS AND DUTIES OF THE PARTIES HEREUNDER SHALL BE GOVERNED BY AND CONSTRUED, ENFORCED AND PERFORMED IN ACCORDANCE WITH THE LAWS OF THE STATE OF NEW YORK, WITHOUT REGARD TO PRINCIPLES OF CONFLICTS OF LAW.  </w:t>
      </w:r>
    </w:p>
    <w:p>
      <w:pPr>
        <w:pStyle w:val="Heading1"/>
        <w:numPr>
          <w:ilvl w:val="0"/>
          <w:numId w:val="14"/>
        </w:numPr>
        <w:bidi w:val="0"/>
        <w:jc w:val="both"/>
        <w:rPr>
          <w:rFonts w:ascii="Times New Roman" w:hAnsi="Times New Roman"/>
          <w:color w:val="000000"/>
          <w:u w:val="none"/>
        </w:rPr>
      </w:pPr>
      <w:r>
        <w:rPr>
          <w:rStyle w:val="DeltaViewDeletion"/>
          <w:kern w:val="0"/>
          <w:u w:val="none"/>
        </w:rPr>
        <w:t xml:space="preserve">Section 11. </w:t>
      </w:r>
      <w:bookmarkStart w:id="282" w:name="_DV_M134"/>
      <w:bookmarkStart w:id="283" w:name="_Ref502205649"/>
      <w:bookmarkEnd w:id="283"/>
      <w:r>
        <w:rPr>
          <w:color w:val="000000"/>
        </w:rPr>
        <w:t>Arbitration</w:t>
      </w:r>
      <w:r>
        <w:rPr>
          <w:color w:val="000000"/>
          <w:u w:val="none"/>
        </w:rPr>
        <w:t>.  Any claim, counterclaim, demand, cause of action, dispute</w:t>
      </w:r>
      <w:bookmarkStart w:id="284" w:name="_DV_M135"/>
      <w:r>
        <w:rPr>
          <w:rStyle w:val="DeltaViewDeletion"/>
          <w:u w:val="none"/>
        </w:rPr>
        <w:t>,</w:t>
      </w:r>
      <w:bookmarkStart w:id="285" w:name="_DV_C130"/>
      <w:bookmarkEnd w:id="284"/>
      <w:bookmarkEnd w:id="285"/>
      <w:r>
        <w:rPr>
          <w:color w:val="000000"/>
          <w:u w:val="none"/>
        </w:rPr>
        <w:t xml:space="preserve"> </w:t>
      </w:r>
      <w:bookmarkStart w:id="286" w:name="_DV_C132"/>
      <w:r>
        <w:rPr>
          <w:rStyle w:val="DeltaViewDeletion"/>
          <w:u w:val="none"/>
        </w:rPr>
        <w:t>and</w:t>
      </w:r>
      <w:bookmarkStart w:id="287" w:name="_DV_C131"/>
      <w:bookmarkEnd w:id="286"/>
      <w:r>
        <w:rPr>
          <w:rStyle w:val="DeltaViewInsertion"/>
        </w:rPr>
        <w:t>or</w:t>
      </w:r>
      <w:bookmarkStart w:id="288" w:name="_DV_C132_Copy_1"/>
      <w:bookmarkEnd w:id="287"/>
      <w:bookmarkEnd w:id="288"/>
      <w:r>
        <w:rPr>
          <w:color w:val="000000"/>
          <w:u w:val="none"/>
        </w:rPr>
        <w:t xml:space="preserve">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bookmarkStart w:id="289" w:name="_DV_M137"/>
      <w:bookmarkEnd w:id="289"/>
      <w:r>
        <w:rPr>
          <w:color w:val="000000"/>
          <w:u w:val="none"/>
        </w:rPr>
        <w:t xml:space="preserve">Section </w:t>
      </w:r>
      <w:bookmarkStart w:id="290" w:name="_DV_C134"/>
      <w:r>
        <w:rPr>
          <w:rStyle w:val="DeltaViewDeletion"/>
          <w:u w:val="none"/>
        </w:rPr>
        <w:t>11</w:t>
      </w:r>
      <w:bookmarkStart w:id="291" w:name="_DV_C133"/>
      <w:bookmarkEnd w:id="290"/>
      <w:r>
        <w:rPr>
          <w:rStyle w:val="DeltaViewInsertion"/>
        </w:rPr>
        <w:t>12</w:t>
      </w:r>
      <w:bookmarkStart w:id="292" w:name="_DV_C134_Copy_1"/>
      <w:bookmarkEnd w:id="291"/>
      <w:bookmarkEnd w:id="292"/>
      <w:r>
        <w:rPr>
          <w:color w:val="000000"/>
          <w:u w:val="none"/>
        </w:rPr>
        <w:t xml:space="preserve">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w:t>
      </w:r>
      <w:bookmarkStart w:id="293" w:name="_DV_M139"/>
      <w:r>
        <w:rPr>
          <w:rStyle w:val="DeltaViewInsertion"/>
        </w:rPr>
        <w:t>,</w:t>
      </w:r>
      <w:bookmarkStart w:id="294" w:name="_DV_C135"/>
      <w:bookmarkEnd w:id="293"/>
      <w:bookmarkEnd w:id="294"/>
      <w:r>
        <w:rPr>
          <w:color w:val="000000"/>
          <w:u w:val="none"/>
        </w:rPr>
        <w:t xml:space="preserve"> shall be decided by the arbitrators.  In deciding the substance of the Parties' Claims, the arbitrators shall refer to the governing law.  It is agreed that the arbitrators shall have no authority to award treble, exemplary or punitive damages of any type under any circumstances</w:t>
      </w:r>
      <w:bookmarkStart w:id="295" w:name="_DV_M140"/>
      <w:r>
        <w:rPr>
          <w:rStyle w:val="DeltaViewInsertion"/>
        </w:rPr>
        <w:t>,</w:t>
      </w:r>
      <w:bookmarkStart w:id="296" w:name="_DV_C136"/>
      <w:bookmarkEnd w:id="295"/>
      <w:bookmarkEnd w:id="296"/>
      <w:r>
        <w:rPr>
          <w:color w:val="000000"/>
          <w:u w:val="none"/>
        </w:rPr>
        <w:t xml:space="preserve">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w:t>
      </w:r>
      <w:bookmarkStart w:id="297" w:name="_DV_M141"/>
      <w:r>
        <w:rPr>
          <w:rStyle w:val="DeltaViewInsertion"/>
        </w:rPr>
        <w:t xml:space="preserve"> York</w:t>
      </w:r>
      <w:bookmarkStart w:id="298" w:name="_DV_C137"/>
      <w:bookmarkEnd w:id="297"/>
      <w:bookmarkEnd w:id="298"/>
      <w:r>
        <w:rPr>
          <w:color w:val="000000"/>
          <w:u w:val="none"/>
        </w:rPr>
        <w:t>,</w:t>
      </w:r>
      <w:bookmarkStart w:id="299" w:name="_DV_M142"/>
      <w:r>
        <w:rPr>
          <w:rStyle w:val="DeltaViewInsertion"/>
        </w:rPr>
        <w:t xml:space="preserve"> New</w:t>
      </w:r>
      <w:bookmarkStart w:id="300" w:name="_DV_C138"/>
      <w:bookmarkEnd w:id="299"/>
      <w:bookmarkEnd w:id="300"/>
      <w:r>
        <w:rPr>
          <w:color w:val="000000"/>
          <w:u w:val="none"/>
        </w:rPr>
        <w:t xml:space="preserve"> York.  Within thirty (30) days of the notice of initiation of the arbitration procedure, each </w:t>
      </w:r>
      <w:bookmarkStart w:id="301" w:name="_DV_C140"/>
      <w:r>
        <w:rPr>
          <w:rStyle w:val="DeltaViewDeletion"/>
          <w:u w:val="none"/>
        </w:rPr>
        <w:t>party</w:t>
      </w:r>
      <w:bookmarkStart w:id="302" w:name="_DV_C139"/>
      <w:bookmarkEnd w:id="301"/>
      <w:r>
        <w:rPr>
          <w:rStyle w:val="DeltaViewInsertion"/>
        </w:rPr>
        <w:t>Party to the arbitration</w:t>
      </w:r>
      <w:bookmarkStart w:id="303" w:name="_DV_C140_Copy_1"/>
      <w:bookmarkEnd w:id="302"/>
      <w:bookmarkEnd w:id="303"/>
      <w:r>
        <w:rPr>
          <w:color w:val="000000"/>
          <w:u w:val="none"/>
        </w:rPr>
        <w:t xml:space="preserve"> shall select one arbitrator.  </w:t>
      </w:r>
      <w:bookmarkStart w:id="304" w:name="_DV_C142"/>
      <w:r>
        <w:rPr>
          <w:rStyle w:val="DeltaViewDeletion"/>
          <w:u w:val="none"/>
        </w:rPr>
        <w:t>The</w:t>
      </w:r>
      <w:bookmarkStart w:id="305" w:name="_DV_C141"/>
      <w:bookmarkEnd w:id="304"/>
      <w:r>
        <w:rPr>
          <w:rStyle w:val="DeltaViewInsertion"/>
        </w:rPr>
        <w:t>If the dispute subject to arbitration involves all of the Parties, the</w:t>
      </w:r>
      <w:bookmarkStart w:id="306" w:name="_DV_C142_Copy_1"/>
      <w:bookmarkEnd w:id="305"/>
      <w:bookmarkEnd w:id="306"/>
      <w:r>
        <w:rPr>
          <w:color w:val="000000"/>
          <w:u w:val="none"/>
        </w:rPr>
        <w:t xml:space="preserve"> three (3) arbitrators </w:t>
      </w:r>
      <w:bookmarkStart w:id="307" w:name="_DV_M145"/>
      <w:r>
        <w:rPr>
          <w:rStyle w:val="DeltaViewInsertion"/>
        </w:rPr>
        <w:t xml:space="preserve">selected </w:t>
      </w:r>
      <w:bookmarkStart w:id="308" w:name="_DV_C143"/>
      <w:bookmarkEnd w:id="307"/>
      <w:bookmarkEnd w:id="308"/>
      <w:r>
        <w:rPr>
          <w:color w:val="000000"/>
          <w:u w:val="none"/>
        </w:rPr>
        <w:t>shall select a fourth arbitrator</w:t>
      </w:r>
      <w:bookmarkStart w:id="309" w:name="_DV_M146"/>
      <w:r>
        <w:rPr>
          <w:rStyle w:val="DeltaViewInsertion"/>
        </w:rPr>
        <w:t xml:space="preserve"> (or, if only two Parties are involved, the two arbitrators shall select a third arbitrator)</w:t>
      </w:r>
      <w:bookmarkStart w:id="310" w:name="_DV_C144"/>
      <w:bookmarkEnd w:id="309"/>
      <w:bookmarkEnd w:id="310"/>
      <w:r>
        <w:rPr>
          <w:color w:val="000000"/>
          <w:u w:val="none"/>
        </w:rPr>
        <w:t>.  The fourth</w:t>
      </w:r>
      <w:bookmarkStart w:id="311" w:name="_DV_M147"/>
      <w:r>
        <w:rPr>
          <w:rStyle w:val="DeltaViewInsertion"/>
        </w:rPr>
        <w:t xml:space="preserve"> (or third, as the case may be)</w:t>
      </w:r>
      <w:bookmarkStart w:id="312" w:name="_DV_C145"/>
      <w:bookmarkEnd w:id="311"/>
      <w:bookmarkEnd w:id="312"/>
      <w:r>
        <w:rPr>
          <w:color w:val="000000"/>
          <w:u w:val="none"/>
        </w:rPr>
        <w:t xml:space="preserve"> arbitrator shall be a person who has over eight years professional experience in electrical energy-related transactions and who has not previously been employed by </w:t>
      </w:r>
      <w:bookmarkStart w:id="313" w:name="_DV_C147"/>
      <w:r>
        <w:rPr>
          <w:rStyle w:val="DeltaViewDeletion"/>
          <w:u w:val="none"/>
        </w:rPr>
        <w:t>either Party</w:t>
      </w:r>
      <w:bookmarkStart w:id="314" w:name="_DV_C146"/>
      <w:bookmarkEnd w:id="313"/>
      <w:r>
        <w:rPr>
          <w:rStyle w:val="DeltaViewInsertion"/>
        </w:rPr>
        <w:t>any of the Parties</w:t>
      </w:r>
      <w:bookmarkStart w:id="315" w:name="_DV_C147_Copy_1"/>
      <w:bookmarkEnd w:id="314"/>
      <w:bookmarkEnd w:id="315"/>
      <w:r>
        <w:rPr>
          <w:color w:val="000000"/>
          <w:u w:val="none"/>
        </w:rPr>
        <w:t xml:space="preserve"> and does not have a direct or indirect interest in any of the Parties or the subject matter of the arbitration.  While the fourth arbitrator </w:t>
      </w:r>
      <w:bookmarkStart w:id="316" w:name="_DV_M149"/>
      <w:r>
        <w:rPr>
          <w:rStyle w:val="DeltaViewInsertion"/>
        </w:rPr>
        <w:t xml:space="preserve">(or third, as the case may be) </w:t>
      </w:r>
      <w:bookmarkStart w:id="317" w:name="_DV_C148"/>
      <w:bookmarkEnd w:id="316"/>
      <w:bookmarkEnd w:id="317"/>
      <w:r>
        <w:rPr>
          <w:color w:val="000000"/>
          <w:u w:val="none"/>
        </w:rPr>
        <w:t xml:space="preserve">shall be neutral, the </w:t>
      </w:r>
      <w:bookmarkStart w:id="318" w:name="_DV_C150"/>
      <w:r>
        <w:rPr>
          <w:rStyle w:val="DeltaViewDeletion"/>
          <w:u w:val="none"/>
        </w:rPr>
        <w:t>three party</w:t>
      </w:r>
      <w:bookmarkStart w:id="319" w:name="_DV_C149"/>
      <w:bookmarkEnd w:id="318"/>
      <w:r>
        <w:rPr>
          <w:rStyle w:val="DeltaViewInsertion"/>
        </w:rPr>
        <w:t>Party</w:t>
      </w:r>
      <w:bookmarkStart w:id="320" w:name="_DV_C150_Copy_1"/>
      <w:bookmarkEnd w:id="319"/>
      <w:bookmarkEnd w:id="320"/>
      <w:r>
        <w:rPr>
          <w:color w:val="000000"/>
          <w:u w:val="none"/>
        </w:rPr>
        <w:t xml:space="preserve">-appointed arbitrators are not required to be neutral, and it shall not be grounds for removal of any of the </w:t>
      </w:r>
      <w:bookmarkStart w:id="321" w:name="_DV_C152"/>
      <w:r>
        <w:rPr>
          <w:rStyle w:val="DeltaViewDeletion"/>
          <w:u w:val="none"/>
        </w:rPr>
        <w:t>three party</w:t>
      </w:r>
      <w:bookmarkStart w:id="322" w:name="_DV_C151"/>
      <w:bookmarkEnd w:id="321"/>
      <w:r>
        <w:rPr>
          <w:rStyle w:val="DeltaViewInsertion"/>
        </w:rPr>
        <w:t>Party</w:t>
      </w:r>
      <w:bookmarkStart w:id="323" w:name="_DV_C152_Copy_1"/>
      <w:bookmarkEnd w:id="322"/>
      <w:bookmarkEnd w:id="323"/>
      <w:r>
        <w:rPr>
          <w:color w:val="000000"/>
          <w:u w:val="none"/>
        </w:rPr>
        <w:t>-appointed arbitrators or for vacating the arbitrators' award that any of such arbitrators has past or present minimal relationships with the Party that appointed such arbitrator.  To the fullest extent permitted by law, any arbitration proceeding and the arbitrator's award shall be maintained in confidence by the Parties.</w:t>
      </w:r>
      <w:bookmarkStart w:id="324" w:name="_Ref502205649_Copy_1"/>
      <w:bookmarkEnd w:id="282"/>
      <w:r>
        <w:rPr>
          <w:rStyle w:val="DeltaViewInsertion"/>
        </w:rPr>
        <w:t xml:space="preserve">  Any and all of the arbitrators' orders and decisions may be enforceable in, and judgment upon any award rendered in the arbitration proceeding may be confirmed and entered by, any federal or state court of competent jurisdiction.</w:t>
      </w:r>
      <w:bookmarkEnd w:id="324"/>
    </w:p>
    <w:p>
      <w:pPr>
        <w:pStyle w:val="Heading1"/>
        <w:numPr>
          <w:ilvl w:val="0"/>
          <w:numId w:val="15"/>
        </w:numPr>
        <w:bidi w:val="0"/>
        <w:jc w:val="both"/>
        <w:rPr>
          <w:rFonts w:ascii="Times New Roman" w:hAnsi="Times New Roman"/>
          <w:color w:val="000000"/>
          <w:u w:val="none"/>
        </w:rPr>
      </w:pPr>
      <w:r>
        <w:rPr>
          <w:rStyle w:val="DeltaViewDeletion"/>
          <w:kern w:val="0"/>
          <w:u w:val="none"/>
        </w:rPr>
        <w:t xml:space="preserve">Section 12. </w:t>
      </w:r>
      <w:bookmarkStart w:id="325" w:name="_DV_M152"/>
      <w:bookmarkEnd w:id="325"/>
      <w:r>
        <w:rPr>
          <w:color w:val="000000"/>
        </w:rPr>
        <w:t>Confidentiality</w:t>
      </w:r>
      <w:r>
        <w:rPr>
          <w:color w:val="000000"/>
          <w:u w:val="none"/>
        </w:rPr>
        <w:t xml:space="preserve">. None of the Parties shall disclose the terms or conditions of this Agreement to a third party (other than the Party's employees, affiliates, lenders, counsel, accountants or advisors who have a need to know such information and have agreed to keep such terms confidential) except in order to comply with any applicable law or regulation or in connection with any court or regulatory proceeding; </w:t>
      </w:r>
      <w:bookmarkStart w:id="326" w:name="_DV_M153"/>
      <w:bookmarkEnd w:id="326"/>
      <w:r>
        <w:rPr>
          <w:color w:val="000000"/>
        </w:rPr>
        <w:t>provided</w:t>
      </w:r>
      <w:r>
        <w:rPr>
          <w:color w:val="000000"/>
          <w:u w:val="none"/>
        </w:rPr>
        <w:t xml:space="preserve">, </w:t>
      </w:r>
      <w:bookmarkStart w:id="327" w:name="_DV_M154"/>
      <w:bookmarkEnd w:id="327"/>
      <w:r>
        <w:rPr>
          <w:color w:val="000000"/>
        </w:rPr>
        <w:t>however</w:t>
      </w:r>
      <w:r>
        <w:rPr>
          <w:color w:val="000000"/>
          <w:u w:val="none"/>
        </w:rPr>
        <w:t xml:space="preserve">, each Party shall, to the extent practicable, use reasonable efforts to prevent or limit </w:t>
      </w:r>
      <w:bookmarkStart w:id="328" w:name="_DV_C155"/>
      <w:r>
        <w:rPr>
          <w:rStyle w:val="DeltaViewDeletion"/>
          <w:u w:val="none"/>
        </w:rPr>
        <w:t>the</w:t>
      </w:r>
      <w:bookmarkStart w:id="329" w:name="_DV_C154"/>
      <w:bookmarkEnd w:id="328"/>
      <w:r>
        <w:rPr>
          <w:rStyle w:val="DeltaViewInsertion"/>
        </w:rPr>
        <w:t>any such</w:t>
      </w:r>
      <w:bookmarkStart w:id="330" w:name="_DV_C155_Copy_1"/>
      <w:bookmarkEnd w:id="329"/>
      <w:bookmarkEnd w:id="330"/>
      <w:r>
        <w:rPr>
          <w:color w:val="000000"/>
          <w:u w:val="none"/>
        </w:rPr>
        <w:t xml:space="preserve"> disclosure.  The Parties shall be entitled to all remedies available at law or in equity to enforce, or seek relief in connection with, this confidentiality obligation.</w:t>
      </w:r>
    </w:p>
    <w:p>
      <w:pPr>
        <w:pStyle w:val="Heading1"/>
        <w:numPr>
          <w:ilvl w:val="0"/>
          <w:numId w:val="16"/>
        </w:numPr>
        <w:bidi w:val="0"/>
        <w:jc w:val="both"/>
        <w:rPr>
          <w:rFonts w:ascii="Times New Roman" w:hAnsi="Times New Roman"/>
          <w:color w:val="000000"/>
          <w:u w:val="none"/>
        </w:rPr>
      </w:pPr>
      <w:r>
        <w:rPr>
          <w:rStyle w:val="DeltaViewDeletion"/>
          <w:kern w:val="0"/>
          <w:u w:val="none"/>
        </w:rPr>
        <w:t xml:space="preserve">Section 13. </w:t>
      </w:r>
      <w:bookmarkStart w:id="331" w:name="_DV_M156"/>
      <w:bookmarkEnd w:id="331"/>
      <w:r>
        <w:rPr>
          <w:color w:val="000000"/>
        </w:rPr>
        <w:t>Binding Effect; Assignment</w:t>
      </w:r>
      <w:r>
        <w:rPr>
          <w:color w:val="000000"/>
          <w:u w:val="none"/>
        </w:rPr>
        <w:t xml:space="preserve">.  This Agreement shall be binding upon and inure to the benefit of the </w:t>
      </w:r>
      <w:bookmarkStart w:id="332" w:name="_DV_C157"/>
      <w:r>
        <w:rPr>
          <w:rStyle w:val="DeltaViewDeletion"/>
          <w:u w:val="none"/>
        </w:rPr>
        <w:t>parties</w:t>
      </w:r>
      <w:bookmarkStart w:id="333" w:name="_DV_C156"/>
      <w:bookmarkEnd w:id="332"/>
      <w:r>
        <w:rPr>
          <w:rStyle w:val="DeltaViewInsertion"/>
        </w:rPr>
        <w:t>Parties</w:t>
      </w:r>
      <w:bookmarkStart w:id="334" w:name="_DV_C157_Copy_1"/>
      <w:bookmarkEnd w:id="333"/>
      <w:bookmarkEnd w:id="334"/>
      <w:r>
        <w:rPr>
          <w:color w:val="000000"/>
          <w:u w:val="none"/>
        </w:rPr>
        <w:t xml:space="preserve"> hereto and their respective successors and permitted assigns.  This Agreement may not be assigned by either of the </w:t>
      </w:r>
      <w:bookmarkStart w:id="335" w:name="_DV_C159"/>
      <w:r>
        <w:rPr>
          <w:rStyle w:val="DeltaViewDeletion"/>
          <w:u w:val="none"/>
        </w:rPr>
        <w:t>parties</w:t>
      </w:r>
      <w:bookmarkStart w:id="336" w:name="_DV_C158"/>
      <w:bookmarkEnd w:id="335"/>
      <w:r>
        <w:rPr>
          <w:rStyle w:val="DeltaViewInsertion"/>
        </w:rPr>
        <w:t>Parties</w:t>
      </w:r>
      <w:bookmarkStart w:id="337" w:name="_DV_C159_Copy_1"/>
      <w:bookmarkEnd w:id="336"/>
      <w:bookmarkEnd w:id="337"/>
      <w:r>
        <w:rPr>
          <w:color w:val="000000"/>
          <w:u w:val="none"/>
        </w:rPr>
        <w:t xml:space="preserve"> hereto without the express written consent of the other </w:t>
      </w:r>
      <w:bookmarkStart w:id="338" w:name="_DV_C161"/>
      <w:r>
        <w:rPr>
          <w:rStyle w:val="DeltaViewDeletion"/>
          <w:u w:val="none"/>
        </w:rPr>
        <w:t>parties</w:t>
      </w:r>
      <w:bookmarkStart w:id="339" w:name="_DV_C160"/>
      <w:bookmarkEnd w:id="338"/>
      <w:r>
        <w:rPr>
          <w:rStyle w:val="DeltaViewInsertion"/>
        </w:rPr>
        <w:t>Parties</w:t>
      </w:r>
      <w:bookmarkStart w:id="340" w:name="_DV_C161_Copy_1"/>
      <w:bookmarkEnd w:id="339"/>
      <w:bookmarkEnd w:id="340"/>
      <w:r>
        <w:rPr>
          <w:color w:val="000000"/>
          <w:u w:val="none"/>
        </w:rPr>
        <w:t xml:space="preserve"> hereto, which consents shall not be unreasonably withheld.</w:t>
      </w:r>
    </w:p>
    <w:p>
      <w:pPr>
        <w:pStyle w:val="Heading1"/>
        <w:numPr>
          <w:ilvl w:val="0"/>
          <w:numId w:val="17"/>
        </w:numPr>
        <w:bidi w:val="0"/>
        <w:jc w:val="both"/>
        <w:rPr>
          <w:rFonts w:ascii="Times New Roman" w:hAnsi="Times New Roman"/>
          <w:color w:val="000000"/>
        </w:rPr>
      </w:pPr>
      <w:r>
        <w:rPr>
          <w:rStyle w:val="DeltaViewDeletion"/>
          <w:kern w:val="0"/>
          <w:u w:val="none"/>
        </w:rPr>
        <w:t xml:space="preserve">Section 14. </w:t>
      </w:r>
      <w:bookmarkStart w:id="341" w:name="_DV_M160"/>
      <w:bookmarkEnd w:id="341"/>
      <w:r>
        <w:rPr>
          <w:color w:val="000000"/>
        </w:rPr>
        <w:t>Severability</w:t>
      </w:r>
      <w:r>
        <w:rPr>
          <w:color w:val="000000"/>
          <w:u w:val="none"/>
        </w:rPr>
        <w:t xml:space="preserve">.  If any provision of this Agreement shall be declared by any court of competent jurisdiction illegal, void or unenforceable (in whole or in part) for any reason, the remaining provisions shall not be affected, but shall remain in full force and effect; </w:t>
      </w:r>
      <w:r>
        <w:rPr>
          <w:color w:val="000000"/>
        </w:rPr>
        <w:t>provided</w:t>
      </w:r>
      <w:r>
        <w:rPr>
          <w:color w:val="000000"/>
          <w:u w:val="none"/>
        </w:rPr>
        <w:t xml:space="preserve">, </w:t>
      </w:r>
      <w:r>
        <w:rPr>
          <w:color w:val="000000"/>
        </w:rPr>
        <w:t>however</w:t>
      </w:r>
      <w:r>
        <w:rPr>
          <w:color w:val="000000"/>
          <w:u w:val="none"/>
        </w:rPr>
        <w:t xml:space="preserve">, that in the event that as a result of any such declaration, a </w:t>
      </w:r>
      <w:bookmarkStart w:id="342" w:name="_DV_C163"/>
      <w:r>
        <w:rPr>
          <w:rStyle w:val="DeltaViewDeletion"/>
          <w:u w:val="none"/>
        </w:rPr>
        <w:t>party</w:t>
      </w:r>
      <w:bookmarkStart w:id="343" w:name="_DV_C162"/>
      <w:bookmarkEnd w:id="342"/>
      <w:r>
        <w:rPr>
          <w:rStyle w:val="DeltaViewInsertion"/>
        </w:rPr>
        <w:t>Party</w:t>
      </w:r>
      <w:bookmarkStart w:id="344" w:name="_DV_C163_Copy_1"/>
      <w:bookmarkEnd w:id="343"/>
      <w:bookmarkEnd w:id="344"/>
      <w:r>
        <w:rPr>
          <w:color w:val="000000"/>
          <w:u w:val="none"/>
        </w:rPr>
        <w:t xml:space="preserve"> hereto would be denied the enjoyment of the material economic benefits of the transactions contemplated hereby, this Agreement shall be deemed to be void </w:t>
      </w:r>
      <w:r>
        <w:rPr>
          <w:i/>
          <w:color w:val="000000"/>
          <w:u w:val="none"/>
        </w:rPr>
        <w:t>ab initio</w:t>
      </w:r>
      <w:r>
        <w:rPr>
          <w:color w:val="000000"/>
          <w:u w:val="none"/>
        </w:rPr>
        <w:t>.</w:t>
      </w:r>
    </w:p>
    <w:p>
      <w:pPr>
        <w:pStyle w:val="Heading1"/>
        <w:numPr>
          <w:ilvl w:val="0"/>
          <w:numId w:val="18"/>
        </w:numPr>
        <w:bidi w:val="0"/>
        <w:jc w:val="both"/>
        <w:rPr>
          <w:rFonts w:ascii="Times New Roman" w:hAnsi="Times New Roman"/>
          <w:color w:val="000000"/>
          <w:u w:val="none"/>
        </w:rPr>
      </w:pPr>
      <w:r>
        <w:rPr>
          <w:rStyle w:val="DeltaViewDeletion"/>
          <w:kern w:val="0"/>
          <w:u w:val="none"/>
        </w:rPr>
        <w:t xml:space="preserve">Section 15. </w:t>
      </w:r>
      <w:bookmarkStart w:id="345" w:name="_DV_M162"/>
      <w:bookmarkEnd w:id="345"/>
      <w:r>
        <w:rPr>
          <w:color w:val="000000"/>
        </w:rPr>
        <w:t>Entire Agreement</w:t>
      </w:r>
      <w:r>
        <w:rPr>
          <w:color w:val="000000"/>
          <w:u w:val="none"/>
        </w:rPr>
        <w:t xml:space="preserve">.  This Agreement contains the entire understanding of the </w:t>
      </w:r>
      <w:bookmarkStart w:id="346" w:name="_DV_C165"/>
      <w:r>
        <w:rPr>
          <w:rStyle w:val="DeltaViewDeletion"/>
          <w:u w:val="none"/>
        </w:rPr>
        <w:t>parties</w:t>
      </w:r>
      <w:bookmarkStart w:id="347" w:name="_DV_C164"/>
      <w:bookmarkEnd w:id="346"/>
      <w:r>
        <w:rPr>
          <w:rStyle w:val="DeltaViewInsertion"/>
        </w:rPr>
        <w:t>Parties</w:t>
      </w:r>
      <w:bookmarkStart w:id="348" w:name="_DV_C165_Copy_1"/>
      <w:bookmarkEnd w:id="347"/>
      <w:bookmarkEnd w:id="348"/>
      <w:r>
        <w:rPr>
          <w:color w:val="000000"/>
          <w:u w:val="none"/>
        </w:rPr>
        <w:t xml:space="preserve"> with respect to the subject matter hereof and supersedes all prior agreements and understandings. </w:t>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0"/>
        </w:sectPr>
        <w:pStyle w:val="Heading1"/>
        <w:numPr>
          <w:ilvl w:val="0"/>
          <w:numId w:val="19"/>
        </w:numPr>
        <w:bidi w:val="0"/>
        <w:jc w:val="both"/>
        <w:rPr>
          <w:rFonts w:ascii="Times New Roman" w:hAnsi="Times New Roman"/>
          <w:color w:val="000000"/>
          <w:u w:val="none"/>
        </w:rPr>
      </w:pPr>
      <w:bookmarkStart w:id="349" w:name="_DV_M164"/>
      <w:r>
        <w:rPr>
          <w:rStyle w:val="DeltaViewDeletion"/>
          <w:kern w:val="0"/>
          <w:u w:val="none"/>
        </w:rPr>
        <w:t xml:space="preserve">Section 16. </w:t>
      </w:r>
      <w:bookmarkStart w:id="350" w:name="_DV_LD0"/>
      <w:bookmarkEnd w:id="349"/>
      <w:bookmarkEnd w:id="350"/>
      <w:r>
        <w:rPr>
          <w:color w:val="000000"/>
        </w:rPr>
        <w:t>Waiver</w:t>
      </w:r>
      <w:r>
        <w:rPr>
          <w:color w:val="000000"/>
          <w:u w:val="none"/>
        </w:rPr>
        <w:t xml:space="preserve">.  No failure on the part of any </w:t>
      </w:r>
      <w:bookmarkStart w:id="351" w:name="_DV_C167"/>
      <w:r>
        <w:rPr>
          <w:rStyle w:val="DeltaViewDeletion"/>
          <w:u w:val="none"/>
        </w:rPr>
        <w:t>party</w:t>
      </w:r>
      <w:bookmarkStart w:id="352" w:name="_DV_C166"/>
      <w:bookmarkEnd w:id="351"/>
      <w:r>
        <w:rPr>
          <w:rStyle w:val="DeltaViewInsertion"/>
        </w:rPr>
        <w:t>Party</w:t>
      </w:r>
      <w:bookmarkStart w:id="353" w:name="_DV_C167_Copy_1"/>
      <w:bookmarkEnd w:id="352"/>
      <w:bookmarkEnd w:id="353"/>
      <w:r>
        <w:rPr>
          <w:color w:val="000000"/>
          <w:u w:val="none"/>
        </w:rPr>
        <w:t xml:space="preserve"> to exercise, and no delay in exercising, any right, remedy or power hereunder shall operate as a waiver thereof, nor shall any single or partial exercise by any </w:t>
      </w:r>
      <w:bookmarkStart w:id="354" w:name="_DV_C169"/>
      <w:r>
        <w:rPr>
          <w:rStyle w:val="DeltaViewDeletion"/>
          <w:u w:val="none"/>
        </w:rPr>
        <w:t>party</w:t>
      </w:r>
      <w:bookmarkStart w:id="355" w:name="_DV_C168"/>
      <w:bookmarkEnd w:id="354"/>
      <w:r>
        <w:rPr>
          <w:rStyle w:val="DeltaViewInsertion"/>
        </w:rPr>
        <w:t>Party</w:t>
      </w:r>
      <w:bookmarkStart w:id="356" w:name="_DV_C169_Copy_1"/>
      <w:bookmarkEnd w:id="355"/>
      <w:bookmarkEnd w:id="356"/>
      <w:r>
        <w:rPr>
          <w:color w:val="000000"/>
          <w:u w:val="none"/>
        </w:rPr>
        <w:t xml:space="preserve"> of any right, remedy or power hereunder preclude any other or future exercise of any other right, remedy or power.</w:t>
      </w:r>
    </w:p>
    <w:p>
      <w:pPr>
        <w:pStyle w:val="BodyText"/>
        <w:bidi w:val="0"/>
        <w:jc w:val="both"/>
        <w:rPr>
          <w:rFonts w:ascii="Times New Roman" w:hAnsi="Times New Roman"/>
          <w:color w:val="000000"/>
        </w:rPr>
      </w:pPr>
      <w:bookmarkStart w:id="361" w:name="_DV_M167"/>
      <w:bookmarkEnd w:id="361"/>
      <w:r>
        <w:rPr>
          <w:color w:val="000000"/>
        </w:rPr>
        <w:t xml:space="preserve">IN WITNESS WHEREOF, the </w:t>
      </w:r>
      <w:bookmarkStart w:id="362" w:name="_DV_C173"/>
      <w:r>
        <w:rPr>
          <w:rStyle w:val="DeltaViewDeletion"/>
        </w:rPr>
        <w:t>parties</w:t>
      </w:r>
      <w:bookmarkStart w:id="363" w:name="_DV_C172"/>
      <w:bookmarkEnd w:id="362"/>
      <w:r>
        <w:rPr>
          <w:rStyle w:val="DeltaViewInsertion"/>
        </w:rPr>
        <w:t>Parties</w:t>
      </w:r>
      <w:bookmarkStart w:id="364" w:name="_DV_C173_Copy_1"/>
      <w:bookmarkEnd w:id="363"/>
      <w:bookmarkEnd w:id="364"/>
      <w:r>
        <w:rPr>
          <w:color w:val="000000"/>
        </w:rPr>
        <w:t xml:space="preserve"> hereto have executed this Settlement Agreement as of the date first above written.</w:t>
      </w:r>
    </w:p>
    <w:p>
      <w:pPr>
        <w:pStyle w:val="Normal"/>
        <w:bidi w:val="0"/>
        <w:jc w:val="both"/>
        <w:rPr>
          <w:color w:val="000000"/>
        </w:rPr>
      </w:pPr>
      <w:r>
        <w:rPr>
          <w:color w:val="000000"/>
        </w:rPr>
      </w:r>
    </w:p>
    <w:p>
      <w:pPr>
        <w:pStyle w:val="BodyText2"/>
        <w:bidi w:val="0"/>
        <w:spacing w:before="0" w:after="0"/>
        <w:ind w:hanging="0" w:start="3960"/>
        <w:jc w:val="both"/>
        <w:rPr>
          <w:rFonts w:ascii="Times New Roman" w:hAnsi="Times New Roman"/>
          <w:b/>
          <w:color w:val="000000"/>
        </w:rPr>
      </w:pPr>
      <w:bookmarkStart w:id="365" w:name="_DV_M169"/>
      <w:bookmarkEnd w:id="365"/>
      <w:r>
        <w:rPr>
          <w:b/>
          <w:color w:val="000000"/>
        </w:rPr>
        <w:t>ENRON POWER MARKETING, INC.</w:t>
      </w:r>
    </w:p>
    <w:p>
      <w:pPr>
        <w:pStyle w:val="Normal"/>
        <w:bidi w:val="0"/>
        <w:ind w:hanging="0" w:start="3960"/>
        <w:jc w:val="both"/>
        <w:rPr>
          <w:color w:val="000000"/>
        </w:rPr>
      </w:pPr>
      <w:r>
        <w:rPr>
          <w:color w:val="000000"/>
        </w:rPr>
      </w:r>
    </w:p>
    <w:p>
      <w:pPr>
        <w:pStyle w:val="Normal"/>
        <w:bidi w:val="0"/>
        <w:ind w:hanging="0" w:start="3960"/>
        <w:jc w:val="both"/>
        <w:rPr>
          <w:color w:val="000000"/>
        </w:rPr>
      </w:pPr>
      <w:bookmarkStart w:id="366" w:name="_DV_M170"/>
      <w:bookmarkEnd w:id="366"/>
      <w:r>
        <w:rPr>
          <w:color w:val="000000"/>
        </w:rPr>
        <w:t>By:  _________________________________</w:t>
      </w:r>
    </w:p>
    <w:p>
      <w:pPr>
        <w:pStyle w:val="Normal"/>
        <w:bidi w:val="0"/>
        <w:ind w:hanging="0" w:start="3960"/>
        <w:jc w:val="both"/>
        <w:rPr>
          <w:color w:val="000000"/>
        </w:rPr>
      </w:pPr>
      <w:bookmarkStart w:id="367" w:name="_DV_M171"/>
      <w:bookmarkEnd w:id="367"/>
      <w:r>
        <w:rPr>
          <w:color w:val="000000"/>
        </w:rPr>
        <w:t>Name:  _______________________________</w:t>
      </w:r>
    </w:p>
    <w:p>
      <w:pPr>
        <w:pStyle w:val="Normal"/>
        <w:bidi w:val="0"/>
        <w:ind w:hanging="0" w:start="3960"/>
        <w:jc w:val="both"/>
        <w:rPr>
          <w:color w:val="000000"/>
        </w:rPr>
      </w:pPr>
      <w:bookmarkStart w:id="368" w:name="_DV_M172"/>
      <w:bookmarkEnd w:id="368"/>
      <w:r>
        <w:rPr>
          <w:color w:val="000000"/>
        </w:rPr>
        <w:t>Title:  ________________________________</w:t>
      </w:r>
    </w:p>
    <w:p>
      <w:pPr>
        <w:pStyle w:val="Normal"/>
        <w:bidi w:val="0"/>
        <w:ind w:hanging="0" w:start="3960"/>
        <w:jc w:val="both"/>
        <w:rPr>
          <w:color w:val="000000"/>
        </w:rPr>
      </w:pPr>
      <w:r>
        <w:rPr>
          <w:color w:val="000000"/>
        </w:rPr>
      </w:r>
    </w:p>
    <w:p>
      <w:pPr>
        <w:pStyle w:val="Normal"/>
        <w:bidi w:val="0"/>
        <w:ind w:hanging="0" w:start="3960"/>
        <w:jc w:val="both"/>
        <w:rPr>
          <w:color w:val="000000"/>
        </w:rPr>
      </w:pPr>
      <w:r>
        <w:rPr>
          <w:color w:val="000000"/>
        </w:rPr>
      </w:r>
    </w:p>
    <w:p>
      <w:pPr>
        <w:pStyle w:val="BodyText2"/>
        <w:bidi w:val="0"/>
        <w:spacing w:before="0" w:after="0"/>
        <w:ind w:hanging="0" w:start="3960"/>
        <w:jc w:val="both"/>
        <w:rPr>
          <w:rFonts w:ascii="Times New Roman" w:hAnsi="Times New Roman"/>
          <w:b/>
          <w:color w:val="000000"/>
        </w:rPr>
      </w:pPr>
      <w:bookmarkStart w:id="369" w:name="_DV_M173"/>
      <w:bookmarkEnd w:id="369"/>
      <w:r>
        <w:rPr>
          <w:b/>
          <w:color w:val="000000"/>
        </w:rPr>
        <w:t>PG&amp;E ENERGY TRADING - POWER, L.P.</w:t>
      </w:r>
    </w:p>
    <w:p>
      <w:pPr>
        <w:pStyle w:val="BodyText2"/>
        <w:bidi w:val="0"/>
        <w:spacing w:before="0" w:after="0"/>
        <w:ind w:hanging="0" w:start="3960"/>
        <w:jc w:val="both"/>
        <w:rPr>
          <w:rFonts w:ascii="Times New Roman" w:hAnsi="Times New Roman"/>
          <w:b/>
          <w:color w:val="000000"/>
        </w:rPr>
      </w:pPr>
      <w:r>
        <w:rPr>
          <w:b/>
          <w:color w:val="000000"/>
        </w:rPr>
      </w:r>
    </w:p>
    <w:p>
      <w:pPr>
        <w:pStyle w:val="BodyText2"/>
        <w:bidi w:val="0"/>
        <w:spacing w:before="0" w:after="0"/>
        <w:ind w:hanging="0" w:start="3960"/>
        <w:jc w:val="both"/>
        <w:rPr>
          <w:rFonts w:ascii="Times New Roman" w:hAnsi="Times New Roman"/>
          <w:b/>
          <w:color w:val="000000"/>
        </w:rPr>
      </w:pPr>
      <w:bookmarkStart w:id="370" w:name="_DV_C174"/>
      <w:r>
        <w:rPr>
          <w:rStyle w:val="DeltaViewInsertion"/>
        </w:rPr>
        <w:t>By PG&amp;E Energy Trading – Power Holdings Corporation, its sole general partner</w:t>
      </w:r>
      <w:bookmarkEnd w:id="370"/>
    </w:p>
    <w:p>
      <w:pPr>
        <w:pStyle w:val="Normal"/>
        <w:bidi w:val="0"/>
        <w:ind w:hanging="0" w:start="3960"/>
        <w:jc w:val="both"/>
        <w:rPr>
          <w:color w:val="000000"/>
        </w:rPr>
      </w:pPr>
      <w:r>
        <w:rPr>
          <w:color w:val="000000"/>
        </w:rPr>
      </w:r>
    </w:p>
    <w:p>
      <w:pPr>
        <w:pStyle w:val="Normal"/>
        <w:bidi w:val="0"/>
        <w:ind w:hanging="0" w:start="3960"/>
        <w:jc w:val="both"/>
        <w:rPr>
          <w:color w:val="000000"/>
        </w:rPr>
      </w:pPr>
      <w:bookmarkStart w:id="371" w:name="_DV_M174"/>
      <w:bookmarkEnd w:id="371"/>
      <w:r>
        <w:rPr>
          <w:color w:val="000000"/>
        </w:rPr>
        <w:t>By:  _________________________________</w:t>
      </w:r>
    </w:p>
    <w:p>
      <w:pPr>
        <w:pStyle w:val="Normal"/>
        <w:bidi w:val="0"/>
        <w:ind w:hanging="0" w:start="3960"/>
        <w:jc w:val="both"/>
        <w:rPr>
          <w:color w:val="000000"/>
        </w:rPr>
      </w:pPr>
      <w:bookmarkStart w:id="372" w:name="_DV_M175"/>
      <w:bookmarkEnd w:id="372"/>
      <w:r>
        <w:rPr>
          <w:color w:val="000000"/>
        </w:rPr>
        <w:t>Name:  _______________________________</w:t>
      </w:r>
    </w:p>
    <w:p>
      <w:pPr>
        <w:pStyle w:val="Normal"/>
        <w:bidi w:val="0"/>
        <w:ind w:hanging="0" w:start="3960"/>
        <w:jc w:val="both"/>
        <w:rPr>
          <w:color w:val="000000"/>
        </w:rPr>
      </w:pPr>
      <w:bookmarkStart w:id="373" w:name="_DV_M176"/>
      <w:bookmarkEnd w:id="373"/>
      <w:r>
        <w:rPr>
          <w:color w:val="000000"/>
        </w:rPr>
        <w:t>Title:  ________________________________</w:t>
      </w:r>
    </w:p>
    <w:p>
      <w:pPr>
        <w:pStyle w:val="Normal"/>
        <w:bidi w:val="0"/>
        <w:ind w:hanging="0" w:start="3960"/>
        <w:jc w:val="both"/>
        <w:rPr>
          <w:color w:val="000000"/>
        </w:rPr>
      </w:pPr>
      <w:r>
        <w:rPr>
          <w:color w:val="000000"/>
        </w:rPr>
      </w:r>
    </w:p>
    <w:p>
      <w:pPr>
        <w:pStyle w:val="Normal"/>
        <w:bidi w:val="0"/>
        <w:ind w:hanging="0" w:start="3960"/>
        <w:jc w:val="both"/>
        <w:rPr>
          <w:color w:val="000000"/>
        </w:rPr>
      </w:pPr>
      <w:r>
        <w:rPr>
          <w:color w:val="000000"/>
        </w:rPr>
      </w:r>
    </w:p>
    <w:p>
      <w:pPr>
        <w:pStyle w:val="Normal"/>
        <w:bidi w:val="0"/>
        <w:ind w:hanging="0" w:start="3960"/>
        <w:jc w:val="both"/>
        <w:rPr>
          <w:b/>
          <w:color w:val="000000"/>
        </w:rPr>
      </w:pPr>
      <w:bookmarkStart w:id="374" w:name="_DV_M177"/>
      <w:bookmarkEnd w:id="374"/>
      <w:r>
        <w:rPr>
          <w:b/>
          <w:color w:val="000000"/>
        </w:rPr>
        <w:t>AVISTA ENERGY, INC.</w:t>
      </w:r>
    </w:p>
    <w:p>
      <w:pPr>
        <w:pStyle w:val="Normal"/>
        <w:bidi w:val="0"/>
        <w:ind w:hanging="0" w:start="3960"/>
        <w:jc w:val="both"/>
        <w:rPr>
          <w:color w:val="000000"/>
        </w:rPr>
      </w:pPr>
      <w:r>
        <w:rPr>
          <w:color w:val="000000"/>
        </w:rPr>
      </w:r>
    </w:p>
    <w:p>
      <w:pPr>
        <w:pStyle w:val="Normal"/>
        <w:bidi w:val="0"/>
        <w:ind w:hanging="0" w:start="3960"/>
        <w:jc w:val="both"/>
        <w:rPr>
          <w:color w:val="000000"/>
        </w:rPr>
      </w:pPr>
      <w:bookmarkStart w:id="375" w:name="_DV_M178"/>
      <w:bookmarkEnd w:id="375"/>
      <w:r>
        <w:rPr>
          <w:color w:val="000000"/>
        </w:rPr>
        <w:t>By:  _________________________________</w:t>
      </w:r>
    </w:p>
    <w:p>
      <w:pPr>
        <w:pStyle w:val="Normal"/>
        <w:bidi w:val="0"/>
        <w:ind w:hanging="0" w:start="3960"/>
        <w:jc w:val="both"/>
        <w:rPr>
          <w:color w:val="000000"/>
        </w:rPr>
      </w:pPr>
      <w:bookmarkStart w:id="376" w:name="_DV_M179"/>
      <w:bookmarkEnd w:id="376"/>
      <w:r>
        <w:rPr>
          <w:color w:val="000000"/>
        </w:rPr>
        <w:t>Name:  _______________________________</w:t>
      </w:r>
    </w:p>
    <w:p>
      <w:pPr>
        <w:pStyle w:val="Normal"/>
        <w:bidi w:val="0"/>
        <w:ind w:hanging="0" w:start="3960"/>
        <w:jc w:val="both"/>
        <w:rPr>
          <w:color w:val="000000"/>
        </w:rPr>
      </w:pPr>
      <w:bookmarkStart w:id="377" w:name="_DV_M180"/>
      <w:bookmarkEnd w:id="377"/>
      <w:r>
        <w:rPr>
          <w:color w:val="000000"/>
        </w:rPr>
        <w:t>Title:  ________________________________</w:t>
      </w:r>
    </w:p>
    <w:p>
      <w:pPr>
        <w:sectPr>
          <w:footerReference w:type="even" r:id="rId5"/>
          <w:footerReference w:type="default" r:id="rId6"/>
          <w:footerReference w:type="first" r:id="rId7"/>
          <w:type w:val="nextPage"/>
          <w:pgSz w:w="12240" w:h="15840"/>
          <w:pgMar w:left="1440" w:right="1440" w:gutter="0" w:header="0" w:top="1440" w:footer="720" w:bottom="1440"/>
          <w:pgNumType w:fmt="decimal"/>
          <w:formProt w:val="false"/>
          <w:textDirection w:val="lrTb"/>
          <w:docGrid w:type="default" w:linePitch="100" w:charSpace="0"/>
        </w:sectPr>
        <w:pStyle w:val="Normal"/>
        <w:bidi w:val="0"/>
        <w:ind w:hanging="0" w:start="4320"/>
        <w:jc w:val="both"/>
        <w:rPr>
          <w:color w:val="000000"/>
        </w:rPr>
      </w:pPr>
      <w:r>
        <w:rPr>
          <w:color w:val="000000"/>
        </w:rPr>
      </w:r>
    </w:p>
    <w:p>
      <w:pPr>
        <w:pStyle w:val="Heading9"/>
        <w:numPr>
          <w:ilvl w:val="0"/>
          <w:numId w:val="0"/>
        </w:numPr>
        <w:bidi w:val="0"/>
        <w:ind w:hanging="0" w:start="0"/>
        <w:jc w:val="center"/>
        <w:outlineLvl w:val="8"/>
        <w:rPr>
          <w:rFonts w:ascii="Times New Roman" w:hAnsi="Times New Roman"/>
          <w:color w:val="000000"/>
        </w:rPr>
      </w:pPr>
      <w:bookmarkStart w:id="382" w:name="_DV_M181"/>
      <w:bookmarkEnd w:id="382"/>
      <w:r>
        <w:rPr>
          <w:color w:val="000000"/>
        </w:rPr>
        <w:t>Exhibit A</w:t>
      </w:r>
    </w:p>
    <w:p>
      <w:pPr>
        <w:pStyle w:val="Normal"/>
        <w:bidi w:val="0"/>
        <w:ind w:hanging="0" w:start="4320"/>
        <w:jc w:val="both"/>
        <w:rPr>
          <w:color w:val="000000"/>
        </w:rPr>
      </w:pPr>
      <w:r>
        <w:rPr>
          <w:color w:val="000000"/>
        </w:rPr>
      </w:r>
    </w:p>
    <w:p>
      <w:pPr>
        <w:pStyle w:val="Normal"/>
        <w:bidi w:val="0"/>
        <w:jc w:val="center"/>
        <w:rPr>
          <w:color w:val="000000"/>
        </w:rPr>
      </w:pPr>
      <w:bookmarkStart w:id="383" w:name="_DV_M182"/>
      <w:r>
        <w:rPr>
          <w:rStyle w:val="DeltaViewDeletion"/>
        </w:rPr>
        <w:t xml:space="preserve">[Insert list of </w:t>
      </w:r>
      <w:bookmarkStart w:id="384" w:name="_DV_C177"/>
      <w:bookmarkEnd w:id="383"/>
      <w:bookmarkEnd w:id="384"/>
      <w:r>
        <w:rPr>
          <w:color w:val="000000"/>
        </w:rPr>
        <w:t>EPMI Purchase Transactions</w:t>
      </w:r>
      <w:bookmarkStart w:id="385" w:name="_DV_C178"/>
      <w:r>
        <w:rPr>
          <w:rStyle w:val="DeltaViewDeletion"/>
        </w:rPr>
        <w:t>]</w:t>
      </w:r>
      <w:bookmarkEnd w:id="385"/>
    </w:p>
    <w:p>
      <w:pPr>
        <w:pStyle w:val="Normal"/>
        <w:bidi w:val="0"/>
        <w:jc w:val="center"/>
        <w:rPr>
          <w:color w:val="000000"/>
        </w:rPr>
      </w:pPr>
      <w:r>
        <w:rPr>
          <w:color w:val="000000"/>
        </w:rPr>
      </w:r>
    </w:p>
    <w:p>
      <w:pPr>
        <w:pStyle w:val="Normal"/>
        <w:bidi w:val="0"/>
        <w:jc w:val="both"/>
        <w:rPr>
          <w:color w:val="000000"/>
        </w:rPr>
      </w:pPr>
      <w:bookmarkStart w:id="386" w:name="_DV_C179"/>
      <w:r>
        <w:rPr>
          <w:rStyle w:val="DeltaViewInsertion"/>
        </w:rPr>
        <w:t>Item 1.</w:t>
        <w:tab/>
        <w:t>Transaction Letter dated July 13, 1999 (Ticket: ACW672, Revision To: ACW 652) confirming trade agreed to July 7, 1999 (but only to the extent of 50 MWh/h, as more specifically set forth herein), a copy of which is attached hereto.*</w:t>
      </w:r>
      <w:bookmarkEnd w:id="386"/>
    </w:p>
    <w:p>
      <w:pPr>
        <w:pStyle w:val="Normal"/>
        <w:bidi w:val="0"/>
        <w:jc w:val="both"/>
        <w:rPr>
          <w:color w:val="000000"/>
        </w:rPr>
      </w:pPr>
      <w:r>
        <w:rPr>
          <w:color w:val="000000"/>
        </w:rPr>
      </w:r>
    </w:p>
    <w:p>
      <w:pPr>
        <w:pStyle w:val="Normal"/>
        <w:bidi w:val="0"/>
        <w:jc w:val="both"/>
        <w:rPr>
          <w:color w:val="000000"/>
        </w:rPr>
      </w:pPr>
      <w:bookmarkStart w:id="387" w:name="_DV_C180"/>
      <w:r>
        <w:rPr>
          <w:rStyle w:val="DeltaViewInsertion"/>
        </w:rPr>
        <w:t>Item 2.</w:t>
        <w:tab/>
        <w:t>Transaction Letter dated March 15, 2000 (Ticket: ACY184) confirming trade agreed to July 13, 1999, a copy of which is attached hereto.</w:t>
      </w:r>
      <w:bookmarkEnd w:id="387"/>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ind w:hanging="0" w:start="4320"/>
        <w:jc w:val="both"/>
        <w:rPr>
          <w:color w:val="000000"/>
        </w:rPr>
      </w:pPr>
      <w:r>
        <w:rPr>
          <w:color w:val="000000"/>
        </w:rPr>
      </w:r>
    </w:p>
    <w:p>
      <w:pPr>
        <w:sectPr>
          <w:footerReference w:type="even" r:id="rId8"/>
          <w:footerReference w:type="default" r:id="rId9"/>
          <w:footerReference w:type="first" r:id="rId10"/>
          <w:type w:val="nextPage"/>
          <w:pgSz w:w="12240" w:h="15840"/>
          <w:pgMar w:left="1440" w:right="1440" w:gutter="0" w:header="0" w:top="1440" w:footer="720" w:bottom="1440"/>
          <w:pgNumType w:fmt="decimal"/>
          <w:formProt w:val="false"/>
          <w:textDirection w:val="lrTb"/>
          <w:docGrid w:type="default" w:linePitch="100" w:charSpace="0"/>
        </w:sectPr>
        <w:pStyle w:val="Normal"/>
        <w:bidi w:val="0"/>
        <w:ind w:hanging="0" w:start="4320"/>
        <w:jc w:val="both"/>
        <w:rPr>
          <w:color w:val="000000"/>
        </w:rPr>
      </w:pPr>
      <w:bookmarkStart w:id="388" w:name="_DV_C181"/>
      <w:r>
        <w:rPr>
          <w:rStyle w:val="DeltaViewInsertion"/>
        </w:rPr>
        <w:t>*Transaction Letter to continue in full force and effect for 25 MWh/h.</w:t>
      </w:r>
      <w:bookmarkEnd w:id="388"/>
    </w:p>
    <w:p>
      <w:pPr>
        <w:pStyle w:val="Heading9"/>
        <w:numPr>
          <w:ilvl w:val="0"/>
          <w:numId w:val="0"/>
        </w:numPr>
        <w:bidi w:val="0"/>
        <w:ind w:hanging="0" w:start="4320"/>
        <w:outlineLvl w:val="8"/>
        <w:rPr>
          <w:rFonts w:ascii="Times New Roman" w:hAnsi="Times New Roman"/>
          <w:color w:val="000000"/>
        </w:rPr>
      </w:pPr>
      <w:bookmarkStart w:id="393" w:name="_DV_M183"/>
      <w:bookmarkEnd w:id="393"/>
      <w:r>
        <w:rPr>
          <w:color w:val="000000"/>
        </w:rPr>
        <w:t>Exhibit B</w:t>
      </w:r>
    </w:p>
    <w:p>
      <w:pPr>
        <w:pStyle w:val="Normal"/>
        <w:bidi w:val="0"/>
        <w:ind w:hanging="0" w:start="4320"/>
        <w:jc w:val="both"/>
        <w:rPr>
          <w:color w:val="000000"/>
        </w:rPr>
      </w:pPr>
      <w:r>
        <w:rPr>
          <w:color w:val="000000"/>
        </w:rPr>
      </w:r>
    </w:p>
    <w:p>
      <w:pPr>
        <w:pStyle w:val="Normal"/>
        <w:bidi w:val="0"/>
        <w:jc w:val="center"/>
        <w:rPr>
          <w:color w:val="000000"/>
        </w:rPr>
      </w:pPr>
      <w:bookmarkStart w:id="394" w:name="_DV_M184"/>
      <w:r>
        <w:rPr>
          <w:rStyle w:val="DeltaViewDeletion"/>
        </w:rPr>
        <w:t xml:space="preserve">[Insert list of </w:t>
      </w:r>
      <w:bookmarkStart w:id="395" w:name="_DV_C185"/>
      <w:bookmarkEnd w:id="394"/>
      <w:bookmarkEnd w:id="395"/>
      <w:r>
        <w:rPr>
          <w:color w:val="000000"/>
        </w:rPr>
        <w:t>PGET Purchase Transactions</w:t>
      </w:r>
      <w:bookmarkStart w:id="396" w:name="_DV_C186"/>
      <w:r>
        <w:rPr>
          <w:rStyle w:val="DeltaViewDeletion"/>
        </w:rPr>
        <w:t xml:space="preserve">] </w:t>
      </w:r>
      <w:bookmarkEnd w:id="396"/>
    </w:p>
    <w:p>
      <w:pPr>
        <w:pStyle w:val="Normal"/>
        <w:bidi w:val="0"/>
        <w:jc w:val="center"/>
        <w:rPr>
          <w:color w:val="000000"/>
        </w:rPr>
      </w:pPr>
      <w:r>
        <w:rPr>
          <w:color w:val="000000"/>
        </w:rPr>
      </w:r>
    </w:p>
    <w:p>
      <w:pPr>
        <w:pStyle w:val="Normal"/>
        <w:bidi w:val="0"/>
        <w:jc w:val="start"/>
        <w:rPr>
          <w:color w:val="000000"/>
        </w:rPr>
      </w:pPr>
      <w:bookmarkStart w:id="397" w:name="_DV_C187"/>
      <w:r>
        <w:rPr>
          <w:rStyle w:val="DeltaViewInsertion"/>
        </w:rPr>
        <w:t>Item 1.</w:t>
        <w:tab/>
        <w:t>Transaction Letter dated July 8, 1999 (Confirmation Number 403862) confirming trade agreed to July 7, 1999.*</w:t>
      </w:r>
      <w:bookmarkEnd w:id="397"/>
    </w:p>
    <w:p>
      <w:pPr>
        <w:pStyle w:val="Normal"/>
        <w:bidi w:val="0"/>
        <w:jc w:val="start"/>
        <w:rPr>
          <w:color w:val="000000"/>
        </w:rPr>
      </w:pPr>
      <w:r>
        <w:rPr>
          <w:color w:val="000000"/>
        </w:rPr>
      </w:r>
    </w:p>
    <w:p>
      <w:pPr>
        <w:pStyle w:val="Normal"/>
        <w:bidi w:val="0"/>
        <w:jc w:val="start"/>
        <w:rPr>
          <w:color w:val="000000"/>
        </w:rPr>
      </w:pPr>
      <w:bookmarkStart w:id="398" w:name="_DV_C188"/>
      <w:r>
        <w:rPr>
          <w:rStyle w:val="DeltaViewInsertion"/>
        </w:rPr>
        <w:t>Item 2.</w:t>
        <w:tab/>
        <w:t>Transaction Letter dated July 14, 1999 (Confirmation Number 404335) confirming trade agreed to July 13, 1999.**</w:t>
      </w:r>
      <w:bookmarkEnd w:id="398"/>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bookmarkStart w:id="399" w:name="_DV_C190"/>
      <w:r>
        <w:rPr>
          <w:rStyle w:val="DeltaViewInsertion"/>
        </w:rPr>
        <w:t xml:space="preserve">*As such Transaction Letter has been corrected as provided for in </w:t>
      </w:r>
      <w:bookmarkStart w:id="400" w:name="_DV_C189"/>
      <w:bookmarkEnd w:id="399"/>
      <w:r>
        <w:rPr>
          <w:rStyle w:val="DeltaViewInsertion"/>
        </w:rPr>
        <w:t>Section 10(a) of this Agreement.</w:t>
      </w:r>
      <w:bookmarkEnd w:id="400"/>
    </w:p>
    <w:p>
      <w:pPr>
        <w:pStyle w:val="Normal"/>
        <w:bidi w:val="0"/>
        <w:jc w:val="start"/>
        <w:rPr>
          <w:color w:val="000000"/>
        </w:rPr>
      </w:pPr>
      <w:r>
        <w:rPr>
          <w:color w:val="000000"/>
        </w:rPr>
      </w:r>
    </w:p>
    <w:p>
      <w:pPr>
        <w:pStyle w:val="Normal"/>
        <w:bidi w:val="0"/>
        <w:jc w:val="start"/>
        <w:rPr>
          <w:color w:val="000000"/>
        </w:rPr>
      </w:pPr>
      <w:bookmarkStart w:id="401" w:name="_DV_C192"/>
      <w:r>
        <w:rPr>
          <w:rStyle w:val="DeltaViewInsertion"/>
        </w:rPr>
        <w:t xml:space="preserve">**As such Transaction Letter has been corrected as provided for in </w:t>
      </w:r>
      <w:bookmarkStart w:id="402" w:name="_DV_C191"/>
      <w:bookmarkEnd w:id="401"/>
      <w:r>
        <w:rPr>
          <w:rStyle w:val="DeltaViewInsertion"/>
        </w:rPr>
        <w:t>Section 10(b)</w:t>
      </w:r>
      <w:bookmarkEnd w:id="402"/>
    </w:p>
    <w:p>
      <w:pPr>
        <w:sectPr>
          <w:footerReference w:type="even" r:id="rId11"/>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100" w:charSpace="0"/>
        </w:sectPr>
        <w:pStyle w:val="Normal"/>
        <w:bidi w:val="0"/>
        <w:jc w:val="start"/>
        <w:rPr>
          <w:color w:val="000000"/>
        </w:rPr>
      </w:pPr>
      <w:bookmarkStart w:id="403" w:name="_DV_C193"/>
      <w:r>
        <w:rPr>
          <w:rStyle w:val="DeltaViewInsertion"/>
        </w:rPr>
        <w:t xml:space="preserve">of this Agreement. </w:t>
      </w:r>
      <w:bookmarkEnd w:id="403"/>
    </w:p>
    <w:p>
      <w:pPr>
        <w:pStyle w:val="DeltaViewTableBody"/>
        <w:bidi w:val="0"/>
        <w:jc w:val="start"/>
        <w:rPr>
          <w:color w:val="000000"/>
        </w:rPr>
      </w:pPr>
      <w:bookmarkStart w:id="410" w:name="_DV_C182_Copy_6"/>
      <w:bookmarkEnd w:id="410"/>
      <w:r>
        <w:rPr>
          <w:color w:val="000000"/>
        </w:rPr>
        <w:t xml:space="preserve">Document comparison done by </w:t>
      </w:r>
      <w:bookmarkStart w:id="411" w:name="Program"/>
      <w:r>
        <w:rPr>
          <w:color w:val="000000"/>
        </w:rPr>
        <w:t>DeltaView</w:t>
      </w:r>
      <w:bookmarkEnd w:id="411"/>
      <w:r>
        <w:rPr>
          <w:color w:val="000000"/>
        </w:rPr>
        <w:t xml:space="preserve"> on </w:t>
      </w:r>
      <w:bookmarkStart w:id="412" w:name="Date"/>
      <w:r>
        <w:rPr>
          <w:color w:val="000000"/>
        </w:rPr>
        <w:t>Wednesday, December 27, 2000 19:09:55</w:t>
      </w:r>
      <w:bookmarkEnd w:id="412"/>
    </w:p>
    <w:tbl>
      <w:tblPr>
        <w:tblW w:w="8295" w:type="dxa"/>
        <w:jc w:val="start"/>
        <w:tblInd w:w="8" w:type="dxa"/>
        <w:tblLayout w:type="fixed"/>
        <w:tblCellMar>
          <w:top w:w="0" w:type="dxa"/>
          <w:start w:w="15" w:type="dxa"/>
          <w:bottom w:w="0" w:type="dxa"/>
          <w:end w:w="15" w:type="dxa"/>
        </w:tblCellMar>
      </w:tblPr>
      <w:tblGrid>
        <w:gridCol w:w="1410"/>
        <w:gridCol w:w="6884"/>
      </w:tblGrid>
      <w:tr>
        <w:trPr/>
        <w:tc>
          <w:tcPr>
            <w:tcW w:w="8294" w:type="dxa"/>
            <w:gridSpan w:val="2"/>
            <w:tcBorders>
              <w:top w:val="single" w:sz="6" w:space="0" w:color="000000"/>
              <w:start w:val="single" w:sz="6" w:space="0" w:color="000000"/>
              <w:bottom w:val="single" w:sz="6" w:space="0" w:color="000000"/>
              <w:end w:val="single" w:sz="6" w:space="0" w:color="000000"/>
            </w:tcBorders>
            <w:shd w:color="auto" w:fill="C0C0C0"/>
          </w:tcPr>
          <w:p>
            <w:pPr>
              <w:pStyle w:val="DeltaViewTableHeading"/>
              <w:tabs>
                <w:tab w:val="clear" w:pos="720"/>
              </w:tabs>
              <w:bidi w:val="0"/>
              <w:spacing w:before="0" w:after="120"/>
              <w:jc w:val="start"/>
              <w:rPr/>
            </w:pPr>
            <w:r>
              <w:rPr>
                <w:color w:val="000000"/>
                <w:w w:val="100"/>
              </w:rPr>
              <w:t>Input:</w:t>
            </w:r>
          </w:p>
        </w:tc>
      </w:tr>
      <w:tr>
        <w:trPr/>
        <w:tc>
          <w:tcPr>
            <w:tcW w:w="1410"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Document 1</w:t>
            </w:r>
          </w:p>
        </w:tc>
        <w:tc>
          <w:tcPr>
            <w:tcW w:w="688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413" w:name="Doc1"/>
            <w:r>
              <w:rPr>
                <w:color w:val="000000"/>
                <w:w w:val="100"/>
              </w:rPr>
              <w:t>::ODMA\PCDOCS\NYC\362726\4</w:t>
            </w:r>
            <w:bookmarkEnd w:id="413"/>
            <w:r>
              <w:rPr>
                <w:color w:val="000000"/>
                <w:w w:val="100"/>
              </w:rPr>
              <w:t xml:space="preserve"> </w:t>
            </w:r>
          </w:p>
        </w:tc>
      </w:tr>
      <w:tr>
        <w:trPr/>
        <w:tc>
          <w:tcPr>
            <w:tcW w:w="1410"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Document 2</w:t>
            </w:r>
          </w:p>
        </w:tc>
        <w:tc>
          <w:tcPr>
            <w:tcW w:w="688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414" w:name="Doc2"/>
            <w:r>
              <w:rPr>
                <w:color w:val="000000"/>
                <w:w w:val="100"/>
              </w:rPr>
              <w:t>::ODMA\PCDOCS\NYC\362726\7</w:t>
            </w:r>
            <w:bookmarkEnd w:id="414"/>
            <w:r>
              <w:rPr>
                <w:color w:val="000000"/>
                <w:w w:val="100"/>
              </w:rPr>
              <w:t xml:space="preserve"> </w:t>
            </w:r>
          </w:p>
        </w:tc>
      </w:tr>
    </w:tbl>
    <w:p>
      <w:pPr>
        <w:pStyle w:val="DeltaViewTableBody"/>
        <w:bidi w:val="0"/>
        <w:jc w:val="start"/>
        <w:rPr>
          <w:color w:val="000000"/>
        </w:rPr>
      </w:pPr>
      <w:r>
        <w:rPr>
          <w:color w:val="000000"/>
        </w:rPr>
      </w:r>
    </w:p>
    <w:tbl>
      <w:tblPr>
        <w:tblW w:w="4995" w:type="dxa"/>
        <w:jc w:val="start"/>
        <w:tblInd w:w="7" w:type="dxa"/>
        <w:tblLayout w:type="fixed"/>
        <w:tblCellMar>
          <w:top w:w="0" w:type="dxa"/>
          <w:start w:w="30" w:type="dxa"/>
          <w:bottom w:w="0" w:type="dxa"/>
          <w:end w:w="30" w:type="dxa"/>
        </w:tblCellMar>
      </w:tblPr>
      <w:tblGrid>
        <w:gridCol w:w="2009"/>
        <w:gridCol w:w="2985"/>
      </w:tblGrid>
      <w:tr>
        <w:trPr/>
        <w:tc>
          <w:tcPr>
            <w:tcW w:w="4994" w:type="dxa"/>
            <w:gridSpan w:val="2"/>
            <w:tcBorders>
              <w:top w:val="single" w:sz="6" w:space="0" w:color="000000"/>
              <w:start w:val="single" w:sz="6" w:space="0" w:color="000000"/>
              <w:bottom w:val="single" w:sz="6" w:space="0" w:color="000000"/>
              <w:end w:val="single" w:sz="6" w:space="0" w:color="000000"/>
            </w:tcBorders>
            <w:shd w:color="auto" w:fill="C0C0C0"/>
          </w:tcPr>
          <w:p>
            <w:pPr>
              <w:pStyle w:val="DeltaViewTableHeading"/>
              <w:tabs>
                <w:tab w:val="clear" w:pos="720"/>
              </w:tabs>
              <w:bidi w:val="0"/>
              <w:spacing w:before="0" w:after="120"/>
              <w:jc w:val="start"/>
              <w:rPr/>
            </w:pPr>
            <w:r>
              <w:rPr>
                <w:color w:val="000000"/>
                <w:w w:val="100"/>
              </w:rPr>
              <w:t>Legend:</w:t>
            </w:r>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415" w:name="Leg_Ins"/>
            <w:r>
              <w:rPr>
                <w:rStyle w:val="DeltaViewInsertion"/>
                <w:rFonts w:ascii="Times New Roman" w:hAnsi="Times New Roman"/>
                <w:w w:val="100"/>
              </w:rPr>
              <w:t xml:space="preserve">Insertion </w:t>
            </w:r>
            <w:bookmarkEnd w:id="415"/>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bookmarkStart w:id="416" w:name="Leg_Del"/>
            <w:r>
              <w:rPr>
                <w:rStyle w:val="DeltaViewDeletion"/>
                <w:rFonts w:ascii="Times New Roman" w:hAnsi="Times New Roman"/>
                <w:w w:val="100"/>
              </w:rPr>
              <w:t xml:space="preserve">Deletion </w:t>
            </w:r>
            <w:bookmarkEnd w:id="416"/>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bookmarkStart w:id="417" w:name="Leg_MoveSource"/>
            <w:r>
              <w:rPr>
                <w:rStyle w:val="DeltaViewMoveSource"/>
                <w:rFonts w:ascii="Times New Roman" w:hAnsi="Times New Roman"/>
                <w:w w:val="100"/>
              </w:rPr>
              <w:t xml:space="preserve">Moved from </w:t>
            </w:r>
            <w:bookmarkEnd w:id="417"/>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bookmarkStart w:id="418" w:name="Leg_MoveDest"/>
            <w:r>
              <w:rPr>
                <w:rStyle w:val="DeltaViewMoveDestination"/>
                <w:rFonts w:ascii="Times New Roman" w:hAnsi="Times New Roman"/>
                <w:w w:val="100"/>
              </w:rPr>
              <w:t xml:space="preserve">Moved to </w:t>
            </w:r>
            <w:bookmarkEnd w:id="418"/>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bookmarkStart w:id="419" w:name="Leg_FormatChange"/>
            <w:r>
              <w:rPr>
                <w:rStyle w:val="DeltaViewFormatChange"/>
                <w:rFonts w:ascii="Times New Roman" w:hAnsi="Times New Roman"/>
                <w:w w:val="100"/>
                <w:highlight w:val="white"/>
              </w:rPr>
              <w:t xml:space="preserve">Format change </w:t>
            </w:r>
            <w:bookmarkEnd w:id="419"/>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Inserted cell</w:t>
            </w:r>
          </w:p>
        </w:tc>
        <w:tc>
          <w:tcPr>
            <w:tcW w:w="2985" w:type="dxa"/>
            <w:tcBorders>
              <w:top w:val="single" w:sz="6" w:space="0" w:color="000000"/>
              <w:start w:val="single" w:sz="6" w:space="0" w:color="000000"/>
              <w:bottom w:val="single" w:sz="6" w:space="0" w:color="000000"/>
              <w:end w:val="single" w:sz="6" w:space="0" w:color="000000"/>
            </w:tcBorders>
            <w:shd w:color="auto" w:fill="FFFFFF"/>
          </w:tcPr>
          <w:p>
            <w:pPr>
              <w:pStyle w:val="DeltaViewTableBody"/>
              <w:tabs>
                <w:tab w:val="clear" w:pos="720"/>
              </w:tabs>
              <w:bidi w:val="0"/>
              <w:jc w:val="start"/>
              <w:rPr/>
            </w:pPr>
            <w:bookmarkStart w:id="420" w:name="Cell_Ins"/>
            <w:bookmarkEnd w:id="420"/>
            <w:r>
              <w:rPr>
                <w:color w:val="000000"/>
                <w:w w:val="100"/>
              </w:rPr>
              <w:t> </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r>
              <w:rPr>
                <w:color w:val="000000"/>
                <w:w w:val="100"/>
              </w:rPr>
              <w:t>Deleted cell</w:t>
            </w:r>
          </w:p>
        </w:tc>
        <w:tc>
          <w:tcPr>
            <w:tcW w:w="2985" w:type="dxa"/>
            <w:tcBorders>
              <w:top w:val="single" w:sz="6" w:space="0" w:color="000000"/>
              <w:start w:val="single" w:sz="6" w:space="0" w:color="000000"/>
              <w:bottom w:val="single" w:sz="6" w:space="0" w:color="000000"/>
              <w:end w:val="single" w:sz="6" w:space="0" w:color="000000"/>
            </w:tcBorders>
            <w:shd w:color="auto" w:fill="FFFFFF"/>
          </w:tcPr>
          <w:p>
            <w:pPr>
              <w:pStyle w:val="DeltaViewTableBody"/>
              <w:widowControl/>
              <w:bidi w:val="0"/>
              <w:jc w:val="start"/>
              <w:rPr/>
            </w:pPr>
            <w:bookmarkStart w:id="421" w:name="Cell_Del"/>
            <w:bookmarkEnd w:id="421"/>
            <w:r>
              <w:rPr>
                <w:color w:val="000000"/>
                <w:w w:val="100"/>
              </w:rPr>
              <w:t> </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Moved cell</w:t>
            </w:r>
          </w:p>
        </w:tc>
        <w:tc>
          <w:tcPr>
            <w:tcW w:w="2985" w:type="dxa"/>
            <w:tcBorders>
              <w:top w:val="single" w:sz="6" w:space="0" w:color="000000"/>
              <w:start w:val="single" w:sz="6" w:space="0" w:color="000000"/>
              <w:bottom w:val="single" w:sz="6" w:space="0" w:color="000000"/>
              <w:end w:val="single" w:sz="6" w:space="0" w:color="000000"/>
            </w:tcBorders>
            <w:shd w:color="auto" w:fill="C0C0C0"/>
          </w:tcPr>
          <w:p>
            <w:pPr>
              <w:pStyle w:val="DeltaViewTableBody"/>
              <w:tabs>
                <w:tab w:val="clear" w:pos="720"/>
              </w:tabs>
              <w:bidi w:val="0"/>
              <w:jc w:val="start"/>
              <w:rPr/>
            </w:pPr>
            <w:r>
              <w:rPr/>
            </w:r>
            <w:bookmarkStart w:id="422" w:name="Cell_Move"/>
            <w:bookmarkStart w:id="423" w:name="Cell_Move"/>
            <w:bookmarkEnd w:id="423"/>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Split/Merged cell</w:t>
            </w:r>
          </w:p>
        </w:tc>
        <w:tc>
          <w:tcPr>
            <w:tcW w:w="2985" w:type="dxa"/>
            <w:tcBorders>
              <w:top w:val="single" w:sz="6" w:space="0" w:color="000000"/>
              <w:start w:val="single" w:sz="6" w:space="0" w:color="000000"/>
              <w:bottom w:val="single" w:sz="6" w:space="0" w:color="000000"/>
              <w:end w:val="single" w:sz="6" w:space="0" w:color="000000"/>
            </w:tcBorders>
            <w:shd w:color="auto" w:fill="FFFFFF"/>
          </w:tcPr>
          <w:p>
            <w:pPr>
              <w:pStyle w:val="DeltaViewTableBody"/>
              <w:tabs>
                <w:tab w:val="clear" w:pos="720"/>
              </w:tabs>
              <w:bidi w:val="0"/>
              <w:jc w:val="start"/>
              <w:rPr/>
            </w:pPr>
            <w:r>
              <w:rPr/>
            </w:r>
            <w:bookmarkStart w:id="424" w:name="Cell_Merge"/>
            <w:bookmarkStart w:id="425" w:name="Cell_Merge"/>
            <w:bookmarkEnd w:id="425"/>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Padding cell</w:t>
            </w:r>
          </w:p>
        </w:tc>
        <w:tc>
          <w:tcPr>
            <w:tcW w:w="2985" w:type="dxa"/>
            <w:tcBorders>
              <w:top w:val="single" w:sz="6" w:space="0" w:color="000000"/>
              <w:start w:val="single" w:sz="6" w:space="0" w:color="000000"/>
              <w:bottom w:val="single" w:sz="6" w:space="0" w:color="000000"/>
              <w:end w:val="single" w:sz="6" w:space="0" w:color="000000"/>
            </w:tcBorders>
            <w:shd w:color="auto" w:fill="FFFFFF"/>
          </w:tcPr>
          <w:p>
            <w:pPr>
              <w:pStyle w:val="DeltaViewTableBody"/>
              <w:tabs>
                <w:tab w:val="clear" w:pos="720"/>
              </w:tabs>
              <w:bidi w:val="0"/>
              <w:jc w:val="start"/>
              <w:rPr/>
            </w:pPr>
            <w:r>
              <w:rPr/>
            </w:r>
            <w:bookmarkStart w:id="426" w:name="Cell_Pad"/>
            <w:bookmarkStart w:id="427" w:name="Cell_Pad"/>
            <w:bookmarkEnd w:id="427"/>
          </w:p>
        </w:tc>
      </w:tr>
    </w:tbl>
    <w:p>
      <w:pPr>
        <w:pStyle w:val="DeltaViewTableBody"/>
        <w:bidi w:val="0"/>
        <w:jc w:val="start"/>
        <w:rPr>
          <w:color w:val="000000"/>
        </w:rPr>
      </w:pPr>
      <w:r>
        <w:rPr>
          <w:color w:val="000000"/>
        </w:rPr>
      </w:r>
    </w:p>
    <w:tbl>
      <w:tblPr>
        <w:tblW w:w="4995" w:type="dxa"/>
        <w:jc w:val="start"/>
        <w:tblInd w:w="7" w:type="dxa"/>
        <w:tblLayout w:type="fixed"/>
        <w:tblCellMar>
          <w:top w:w="0" w:type="dxa"/>
          <w:start w:w="30" w:type="dxa"/>
          <w:bottom w:w="0" w:type="dxa"/>
          <w:end w:w="30" w:type="dxa"/>
        </w:tblCellMar>
      </w:tblPr>
      <w:tblGrid>
        <w:gridCol w:w="2009"/>
        <w:gridCol w:w="1464"/>
        <w:gridCol w:w="1522"/>
      </w:tblGrid>
      <w:tr>
        <w:trPr/>
        <w:tc>
          <w:tcPr>
            <w:tcW w:w="4995" w:type="dxa"/>
            <w:gridSpan w:val="3"/>
            <w:tcBorders>
              <w:top w:val="single" w:sz="6" w:space="0" w:color="000000"/>
              <w:start w:val="single" w:sz="6" w:space="0" w:color="000000"/>
              <w:bottom w:val="single" w:sz="6" w:space="0" w:color="000000"/>
              <w:end w:val="single" w:sz="6" w:space="0" w:color="000000"/>
            </w:tcBorders>
            <w:shd w:color="auto" w:fill="C0C0C0"/>
          </w:tcPr>
          <w:p>
            <w:pPr>
              <w:pStyle w:val="DeltaViewTableHeading"/>
              <w:tabs>
                <w:tab w:val="clear" w:pos="720"/>
              </w:tabs>
              <w:bidi w:val="0"/>
              <w:spacing w:before="0" w:after="120"/>
              <w:jc w:val="start"/>
              <w:rPr/>
            </w:pPr>
            <w:r>
              <w:rPr>
                <w:color w:val="000000"/>
                <w:w w:val="100"/>
              </w:rPr>
              <w:t>Statistics:</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Insertions</w:t>
            </w:r>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428" w:name="Stat_Ins"/>
            <w:r>
              <w:rPr>
                <w:color w:val="000000"/>
                <w:w w:val="100"/>
              </w:rPr>
              <w:t>136</w:t>
            </w:r>
            <w:bookmarkEnd w:id="428"/>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w:t>
            </w:r>
            <w:bookmarkStart w:id="429" w:name="Stat_InsP"/>
            <w:r>
              <w:rPr>
                <w:color w:val="000000"/>
                <w:w w:val="100"/>
              </w:rPr>
              <w:t>27.78</w:t>
            </w:r>
            <w:bookmarkEnd w:id="429"/>
            <w:r>
              <w:rPr>
                <w:color w:val="000000"/>
                <w:w w:val="100"/>
              </w:rPr>
              <w:t>%)</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r>
              <w:rPr>
                <w:color w:val="000000"/>
                <w:w w:val="100"/>
              </w:rPr>
              <w:t>Deletions</w:t>
            </w:r>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bookmarkStart w:id="430" w:name="Stat_Del"/>
            <w:r>
              <w:rPr>
                <w:color w:val="000000"/>
                <w:w w:val="100"/>
              </w:rPr>
              <w:t>77</w:t>
            </w:r>
            <w:bookmarkEnd w:id="430"/>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r>
              <w:rPr>
                <w:color w:val="000000"/>
                <w:w w:val="100"/>
              </w:rPr>
              <w:t>(</w:t>
            </w:r>
            <w:bookmarkStart w:id="431" w:name="Stat_DelP"/>
            <w:r>
              <w:rPr>
                <w:color w:val="000000"/>
                <w:w w:val="100"/>
              </w:rPr>
              <w:t>2.94</w:t>
            </w:r>
            <w:bookmarkEnd w:id="431"/>
            <w:r>
              <w:rPr>
                <w:color w:val="000000"/>
                <w:w w:val="100"/>
              </w:rPr>
              <w:t>%)</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r>
              <w:rPr>
                <w:color w:val="000000"/>
                <w:w w:val="100"/>
              </w:rPr>
              <w:t>Moves</w:t>
            </w:r>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bookmarkStart w:id="432" w:name="Stat_Move"/>
            <w:r>
              <w:rPr>
                <w:color w:val="000000"/>
                <w:w w:val="100"/>
              </w:rPr>
              <w:t>0</w:t>
            </w:r>
            <w:bookmarkEnd w:id="432"/>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r>
              <w:rPr>
                <w:color w:val="000000"/>
                <w:w w:val="100"/>
              </w:rPr>
              <w:t>(</w:t>
            </w:r>
            <w:bookmarkStart w:id="433" w:name="Stat_MoveP"/>
            <w:r>
              <w:rPr>
                <w:color w:val="000000"/>
                <w:w w:val="100"/>
              </w:rPr>
              <w:t>0.00</w:t>
            </w:r>
            <w:bookmarkEnd w:id="433"/>
            <w:r>
              <w:rPr>
                <w:color w:val="000000"/>
                <w:w w:val="100"/>
              </w:rPr>
              <w:t>%)</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r>
              <w:rPr>
                <w:color w:val="000000"/>
                <w:w w:val="100"/>
              </w:rPr>
              <w:t>Matched</w:t>
            </w:r>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bookmarkStart w:id="434" w:name="Stat_Match"/>
            <w:r>
              <w:rPr>
                <w:color w:val="000000"/>
                <w:w w:val="100"/>
              </w:rPr>
              <w:t>115</w:t>
            </w:r>
            <w:bookmarkEnd w:id="434"/>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r>
              <w:rPr>
                <w:color w:val="000000"/>
                <w:w w:val="100"/>
              </w:rPr>
              <w:t>(</w:t>
            </w:r>
            <w:bookmarkStart w:id="435" w:name="Stat_MatchP"/>
            <w:r>
              <w:rPr>
                <w:color w:val="000000"/>
                <w:w w:val="100"/>
              </w:rPr>
              <w:t>69.26</w:t>
            </w:r>
            <w:bookmarkEnd w:id="435"/>
            <w:r>
              <w:rPr>
                <w:color w:val="000000"/>
                <w:w w:val="100"/>
              </w:rPr>
              <w:t>%)</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Format changed</w:t>
            </w:r>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436" w:name="Stat_Change"/>
            <w:r>
              <w:rPr>
                <w:color w:val="000000"/>
                <w:w w:val="100"/>
              </w:rPr>
              <w:t>0</w:t>
            </w:r>
            <w:bookmarkEnd w:id="436"/>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w:t>
            </w:r>
            <w:bookmarkStart w:id="437" w:name="Stat_ChangeP"/>
            <w:r>
              <w:rPr>
                <w:color w:val="000000"/>
                <w:w w:val="100"/>
              </w:rPr>
              <w:t>0.01</w:t>
            </w:r>
            <w:bookmarkEnd w:id="437"/>
            <w:r>
              <w:rPr>
                <w:color w:val="000000"/>
                <w:w w:val="100"/>
              </w:rPr>
              <w:t>%)</w:t>
            </w:r>
          </w:p>
        </w:tc>
      </w:tr>
    </w:tbl>
    <w:p>
      <w:pPr>
        <w:pStyle w:val="DeltaViewTableBody"/>
        <w:widowControl/>
        <w:bidi w:val="0"/>
        <w:jc w:val="start"/>
        <w:rPr/>
      </w:pPr>
      <w:r>
        <w:rPr/>
      </w:r>
      <w:bookmarkStart w:id="438" w:name="_DV_C182_Copy_6"/>
      <w:bookmarkStart w:id="439" w:name="_DV_C182_Copy_6"/>
      <w:bookmarkEnd w:id="439"/>
    </w:p>
    <w:sectPr>
      <w:footerReference w:type="default" r:id="rId14"/>
      <w:footerReference w:type="first" r:id="rId15"/>
      <w:type w:val="nextPage"/>
      <w:pgSz w:w="12240" w:h="15840"/>
      <w:pgMar w:left="1440" w:right="1440"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color w:val="000000"/>
        <w:sz w:val="12"/>
      </w:rPr>
    </w:pPr>
    <w:r>
      <w:rPr>
        <w:rStyle w:val="PageNumber"/>
        <w:sz w:val="12"/>
      </w:rPr>
      <w:t xml:space="preserve">NYC </w:t>
    </w:r>
    <w:bookmarkStart w:id="404" w:name="_DV_C183"/>
    <w:r>
      <w:rPr>
        <w:rStyle w:val="DeltaViewDeletion"/>
        <w:sz w:val="12"/>
      </w:rPr>
      <w:t>362726.4</w:t>
    </w:r>
    <w:bookmarkStart w:id="405" w:name="_DV_C182"/>
    <w:bookmarkEnd w:id="404"/>
    <w:r>
      <w:rPr>
        <w:rStyle w:val="DeltaViewInsertion"/>
        <w:sz w:val="12"/>
      </w:rPr>
      <w:t>362726.5</w:t>
    </w:r>
    <w:bookmarkEnd w:id="405"/>
    <w:r>
      <w:rPr>
        <w:rStyle w:val="PageNumber"/>
        <w:color w:val="000000"/>
        <w:sz w:val="12"/>
      </w:rPr>
      <w:t xml:space="preserve"> 24571 313</w:t>
    </w:r>
    <w:bookmarkStart w:id="406" w:name="_DV_C184"/>
    <w:r>
      <w:rPr>
        <w:rStyle w:val="DeltaViewDeletion"/>
        <w:sz w:val="12"/>
      </w:rPr>
      <w:t xml:space="preserve"> 12/21/00 1:48 PM</w:t>
    </w:r>
    <w:bookmarkEnd w:id="406"/>
    <w:r>
      <w:rPr>
        <w:rStyle w:val="PageNumber"/>
        <w:color w:val="000000"/>
        <w:sz w:val="12"/>
      </w:rPr>
      <w:t xml:space="preserve">  </w:t>
    </w:r>
    <w:r>
      <w:rPr>
        <w:rStyle w:val="DeltaViewInsertion"/>
        <w:sz w:val="12"/>
        <w:lang w:val="en-US"/>
      </w:rPr>
      <w:fldChar w:fldCharType="begin"/>
    </w:r>
    <w:r>
      <w:rPr>
        <w:rStyle w:val="DeltaViewInsertion"/>
        <w:sz w:val="12"/>
        <w:lang w:val="en-US"/>
      </w:rPr>
      <w:instrText xml:space="preserve"> DATE \@"MM\/dd\/yy" </w:instrText>
    </w:r>
    <w:r>
      <w:rPr>
        <w:rStyle w:val="DeltaViewInsertion"/>
        <w:sz w:val="12"/>
        <w:lang w:val="en-US"/>
      </w:rPr>
      <w:fldChar w:fldCharType="separate"/>
    </w:r>
    <w:r>
      <w:rPr>
        <w:rStyle w:val="DeltaViewInsertion"/>
        <w:sz w:val="12"/>
        <w:lang w:val="en-US"/>
      </w:rPr>
      <w:t>09/27/25</w:t>
    </w:r>
    <w:r>
      <w:rPr>
        <w:rStyle w:val="DeltaViewInsertion"/>
        <w:sz w:val="12"/>
        <w:lang w:val="en-US"/>
      </w:rPr>
      <w:fldChar w:fldCharType="end"/>
    </w:r>
    <w:r>
      <w:rPr>
        <w:rStyle w:val="PageNumber"/>
        <w:color w:val="000000"/>
        <w:sz w:val="12"/>
      </w:rPr>
      <w:t xml:space="preserve">  </w:t>
    </w:r>
    <w:r>
      <w:rPr>
        <w:rStyle w:val="DeltaViewInsertion"/>
        <w:sz w:val="12"/>
        <w:lang w:val="en-US"/>
      </w:rPr>
      <w:fldChar w:fldCharType="begin"/>
    </w:r>
    <w:r>
      <w:rPr>
        <w:rStyle w:val="DeltaViewInsertion"/>
        <w:sz w:val="12"/>
        <w:lang w:val="en-US"/>
      </w:rPr>
      <w:instrText xml:space="preserve"> TIME \@"H:mm\ AM/PM" </w:instrText>
    </w:r>
    <w:r>
      <w:rPr>
        <w:rStyle w:val="DeltaViewInsertion"/>
        <w:sz w:val="12"/>
        <w:lang w:val="en-US"/>
      </w:rPr>
      <w:fldChar w:fldCharType="separate"/>
    </w:r>
    <w:r>
      <w:rPr>
        <w:rStyle w:val="DeltaViewInsertion"/>
        <w:sz w:val="12"/>
        <w:lang w:val="en-US"/>
      </w:rPr>
      <w:t>7:35 PM</w:t>
    </w:r>
    <w:r>
      <w:rPr>
        <w:rStyle w:val="DeltaViewInsertion"/>
        <w:sz w:val="12"/>
        <w:lang w:val="en-US"/>
      </w:rPr>
      <w:fldChar w:fldCharType="end"/>
    </w:r>
  </w:p>
  <w:p>
    <w:pPr>
      <w:pStyle w:val="Footer"/>
      <w:bidi w:val="0"/>
      <w:jc w:val="center"/>
      <w:rPr>
        <w:rFonts w:ascii="Times New Roman" w:hAnsi="Times New Roman"/>
        <w:color w:val="000000"/>
        <w:lang w:val="en-US"/>
      </w:rPr>
    </w:pPr>
    <w:r>
      <w:rPr>
        <w:rStyle w:val="DeltaViewDeletion"/>
        <w:sz w:val="20"/>
        <w:lang w:val="en-US"/>
      </w:rPr>
      <w:fldChar w:fldCharType="begin"/>
    </w:r>
    <w:r>
      <w:rPr>
        <w:rStyle w:val="DeltaViewDeletion"/>
        <w:sz w:val="20"/>
        <w:lang w:val="en-US"/>
      </w:rPr>
      <w:instrText xml:space="preserve"> PAGE </w:instrText>
    </w:r>
    <w:r>
      <w:rPr>
        <w:rStyle w:val="DeltaViewDeletion"/>
        <w:sz w:val="20"/>
        <w:lang w:val="en-US"/>
      </w:rPr>
      <w:fldChar w:fldCharType="separate"/>
    </w:r>
    <w:r>
      <w:rPr>
        <w:rStyle w:val="DeltaViewDeletion"/>
        <w:sz w:val="20"/>
        <w:lang w:val="en-US"/>
      </w:rPr>
      <w:t>12</w:t>
    </w:r>
    <w:r>
      <w:rPr>
        <w:rStyle w:val="DeltaViewDeletion"/>
        <w:sz w:val="20"/>
        <w:lang w:val="en-US"/>
      </w:rPr>
      <w:fldChar w:fldCharType="end"/>
    </w:r>
    <w:r>
      <w:rPr>
        <w:rStyle w:val="PageNumber"/>
        <w:vanish/>
        <w:color w:val="000000"/>
        <w:sz w:val="12"/>
      </w:rPr>
      <w:t xml:space="preserve"> </w:t>
    </w:r>
    <w:r>
      <w:rPr>
        <w:rStyle w:val="DeltaViewInsertion"/>
        <w:sz w:val="20"/>
        <w:lang w:val="en-US"/>
      </w:rPr>
      <w:fldChar w:fldCharType="begin"/>
    </w:r>
    <w:r>
      <w:rPr>
        <w:rStyle w:val="DeltaViewInsertion"/>
        <w:sz w:val="20"/>
        <w:lang w:val="en-US"/>
      </w:rPr>
      <w:instrText xml:space="preserve"> PAGE </w:instrText>
    </w:r>
    <w:r>
      <w:rPr>
        <w:rStyle w:val="DeltaViewInsertion"/>
        <w:sz w:val="20"/>
        <w:lang w:val="en-US"/>
      </w:rPr>
      <w:fldChar w:fldCharType="separate"/>
    </w:r>
    <w:r>
      <w:rPr>
        <w:rStyle w:val="DeltaViewInsertion"/>
        <w:sz w:val="20"/>
        <w:lang w:val="en-US"/>
      </w:rPr>
      <w:t>12</w:t>
    </w:r>
    <w:r>
      <w:rPr>
        <w:rStyle w:val="DeltaViewInsertion"/>
        <w:sz w:val="20"/>
        <w:lang w:val="en-US"/>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color w:val="000000"/>
        <w:sz w:val="12"/>
      </w:rPr>
    </w:pPr>
    <w:r>
      <w:rPr>
        <w:rStyle w:val="PageNumber"/>
        <w:sz w:val="12"/>
      </w:rPr>
      <w:t xml:space="preserve">NYC </w:t>
    </w:r>
    <w:bookmarkStart w:id="407" w:name="_DV_C183"/>
    <w:r>
      <w:rPr>
        <w:rStyle w:val="DeltaViewDeletion"/>
        <w:sz w:val="12"/>
      </w:rPr>
      <w:t>362726.4</w:t>
    </w:r>
    <w:bookmarkStart w:id="408" w:name="_DV_C182"/>
    <w:bookmarkEnd w:id="407"/>
    <w:r>
      <w:rPr>
        <w:rStyle w:val="DeltaViewInsertion"/>
        <w:sz w:val="12"/>
      </w:rPr>
      <w:t>362726.5</w:t>
    </w:r>
    <w:bookmarkEnd w:id="408"/>
    <w:r>
      <w:rPr>
        <w:rStyle w:val="PageNumber"/>
        <w:color w:val="000000"/>
        <w:sz w:val="12"/>
      </w:rPr>
      <w:t xml:space="preserve"> 24571 313</w:t>
    </w:r>
    <w:bookmarkStart w:id="409" w:name="_DV_C184"/>
    <w:r>
      <w:rPr>
        <w:rStyle w:val="DeltaViewDeletion"/>
        <w:sz w:val="12"/>
      </w:rPr>
      <w:t xml:space="preserve"> 12/21/00 1:48 PM</w:t>
    </w:r>
    <w:bookmarkEnd w:id="409"/>
    <w:r>
      <w:rPr>
        <w:rStyle w:val="PageNumber"/>
        <w:color w:val="000000"/>
        <w:sz w:val="12"/>
      </w:rPr>
      <w:t xml:space="preserve">  </w:t>
    </w:r>
    <w:r>
      <w:rPr>
        <w:rStyle w:val="DeltaViewInsertion"/>
        <w:sz w:val="12"/>
        <w:lang w:val="en-US"/>
      </w:rPr>
      <w:fldChar w:fldCharType="begin"/>
    </w:r>
    <w:r>
      <w:rPr>
        <w:rStyle w:val="DeltaViewInsertion"/>
        <w:sz w:val="12"/>
        <w:lang w:val="en-US"/>
      </w:rPr>
      <w:instrText xml:space="preserve"> DATE \@"MM\/dd\/yy" </w:instrText>
    </w:r>
    <w:r>
      <w:rPr>
        <w:rStyle w:val="DeltaViewInsertion"/>
        <w:sz w:val="12"/>
        <w:lang w:val="en-US"/>
      </w:rPr>
      <w:fldChar w:fldCharType="separate"/>
    </w:r>
    <w:r>
      <w:rPr>
        <w:rStyle w:val="DeltaViewInsertion"/>
        <w:sz w:val="12"/>
        <w:lang w:val="en-US"/>
      </w:rPr>
      <w:t>09/27/25</w:t>
    </w:r>
    <w:r>
      <w:rPr>
        <w:rStyle w:val="DeltaViewInsertion"/>
        <w:sz w:val="12"/>
        <w:lang w:val="en-US"/>
      </w:rPr>
      <w:fldChar w:fldCharType="end"/>
    </w:r>
    <w:r>
      <w:rPr>
        <w:rStyle w:val="PageNumber"/>
        <w:color w:val="000000"/>
        <w:sz w:val="12"/>
      </w:rPr>
      <w:t xml:space="preserve">  </w:t>
    </w:r>
    <w:r>
      <w:rPr>
        <w:rStyle w:val="DeltaViewInsertion"/>
        <w:sz w:val="12"/>
        <w:lang w:val="en-US"/>
      </w:rPr>
      <w:fldChar w:fldCharType="begin"/>
    </w:r>
    <w:r>
      <w:rPr>
        <w:rStyle w:val="DeltaViewInsertion"/>
        <w:sz w:val="12"/>
        <w:lang w:val="en-US"/>
      </w:rPr>
      <w:instrText xml:space="preserve"> TIME \@"H:mm\ AM/PM" </w:instrText>
    </w:r>
    <w:r>
      <w:rPr>
        <w:rStyle w:val="DeltaViewInsertion"/>
        <w:sz w:val="12"/>
        <w:lang w:val="en-US"/>
      </w:rPr>
      <w:fldChar w:fldCharType="separate"/>
    </w:r>
    <w:r>
      <w:rPr>
        <w:rStyle w:val="DeltaViewInsertion"/>
        <w:sz w:val="12"/>
        <w:lang w:val="en-US"/>
      </w:rPr>
      <w:t>7:35 PM</w:t>
    </w:r>
    <w:r>
      <w:rPr>
        <w:rStyle w:val="DeltaViewInsertion"/>
        <w:sz w:val="12"/>
        <w:lang w:val="en-US"/>
      </w:rPr>
      <w:fldChar w:fldCharType="end"/>
    </w:r>
  </w:p>
  <w:p>
    <w:pPr>
      <w:pStyle w:val="Footer"/>
      <w:bidi w:val="0"/>
      <w:jc w:val="center"/>
      <w:rPr>
        <w:rFonts w:ascii="Times New Roman" w:hAnsi="Times New Roman"/>
        <w:color w:val="000000"/>
        <w:lang w:val="en-US"/>
      </w:rPr>
    </w:pPr>
    <w:r>
      <w:rPr>
        <w:rStyle w:val="DeltaViewDeletion"/>
        <w:sz w:val="20"/>
        <w:lang w:val="en-US"/>
      </w:rPr>
      <w:fldChar w:fldCharType="begin"/>
    </w:r>
    <w:r>
      <w:rPr>
        <w:rStyle w:val="DeltaViewDeletion"/>
        <w:sz w:val="20"/>
        <w:lang w:val="en-US"/>
      </w:rPr>
      <w:instrText xml:space="preserve"> PAGE </w:instrText>
    </w:r>
    <w:r>
      <w:rPr>
        <w:rStyle w:val="DeltaViewDeletion"/>
        <w:sz w:val="20"/>
        <w:lang w:val="en-US"/>
      </w:rPr>
      <w:fldChar w:fldCharType="separate"/>
    </w:r>
    <w:r>
      <w:rPr>
        <w:rStyle w:val="DeltaViewDeletion"/>
        <w:sz w:val="20"/>
        <w:lang w:val="en-US"/>
      </w:rPr>
      <w:t>12</w:t>
    </w:r>
    <w:r>
      <w:rPr>
        <w:rStyle w:val="DeltaViewDeletion"/>
        <w:sz w:val="20"/>
        <w:lang w:val="en-US"/>
      </w:rPr>
      <w:fldChar w:fldCharType="end"/>
    </w:r>
    <w:r>
      <w:rPr>
        <w:rStyle w:val="PageNumber"/>
        <w:vanish/>
        <w:color w:val="000000"/>
        <w:sz w:val="12"/>
      </w:rPr>
      <w:t xml:space="preserve"> </w:t>
    </w:r>
    <w:r>
      <w:rPr>
        <w:rStyle w:val="DeltaViewInsertion"/>
        <w:sz w:val="20"/>
        <w:lang w:val="en-US"/>
      </w:rPr>
      <w:fldChar w:fldCharType="begin"/>
    </w:r>
    <w:r>
      <w:rPr>
        <w:rStyle w:val="DeltaViewInsertion"/>
        <w:sz w:val="20"/>
        <w:lang w:val="en-US"/>
      </w:rPr>
      <w:instrText xml:space="preserve"> PAGE </w:instrText>
    </w:r>
    <w:r>
      <w:rPr>
        <w:rStyle w:val="DeltaViewInsertion"/>
        <w:sz w:val="20"/>
        <w:lang w:val="en-US"/>
      </w:rPr>
      <w:fldChar w:fldCharType="separate"/>
    </w:r>
    <w:r>
      <w:rPr>
        <w:rStyle w:val="DeltaViewInsertion"/>
        <w:sz w:val="20"/>
        <w:lang w:val="en-US"/>
      </w:rPr>
      <w:t>12</w:t>
    </w:r>
    <w:r>
      <w:rPr>
        <w:rStyle w:val="DeltaViewInsertion"/>
        <w:sz w:val="20"/>
        <w:lang w:val="en-US"/>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color w:val="000000"/>
        <w:sz w:val="12"/>
      </w:rPr>
    </w:pPr>
    <w:r>
      <w:rPr>
        <w:rStyle w:val="PageNumber"/>
        <w:sz w:val="12"/>
      </w:rPr>
      <w:t xml:space="preserve">NYC </w:t>
    </w:r>
    <w:bookmarkStart w:id="440" w:name="_DV_C183_Copy_6"/>
    <w:r>
      <w:rPr>
        <w:rStyle w:val="DeltaViewDeletion"/>
        <w:sz w:val="12"/>
      </w:rPr>
      <w:t>362726.4</w:t>
    </w:r>
    <w:bookmarkStart w:id="441" w:name="_DV_C182_Copy_7"/>
    <w:bookmarkEnd w:id="440"/>
    <w:r>
      <w:rPr>
        <w:rStyle w:val="DeltaViewInsertion"/>
        <w:sz w:val="12"/>
      </w:rPr>
      <w:t>362726.5</w:t>
    </w:r>
    <w:bookmarkEnd w:id="441"/>
    <w:r>
      <w:rPr>
        <w:rStyle w:val="PageNumber"/>
        <w:color w:val="000000"/>
        <w:sz w:val="12"/>
      </w:rPr>
      <w:t xml:space="preserve"> 24571 313</w:t>
    </w:r>
    <w:bookmarkStart w:id="442" w:name="_DV_C184_Copy_6"/>
    <w:r>
      <w:rPr>
        <w:rStyle w:val="DeltaViewDeletion"/>
        <w:sz w:val="12"/>
      </w:rPr>
      <w:t xml:space="preserve"> 12/21/00 1:48 PM</w:t>
    </w:r>
    <w:bookmarkEnd w:id="442"/>
    <w:r>
      <w:rPr>
        <w:rStyle w:val="PageNumber"/>
        <w:color w:val="000000"/>
        <w:sz w:val="12"/>
      </w:rPr>
      <w:t xml:space="preserve">  </w:t>
    </w:r>
    <w:r>
      <w:rPr>
        <w:rStyle w:val="DeltaViewInsertion"/>
        <w:sz w:val="12"/>
        <w:lang w:val="en-US"/>
      </w:rPr>
      <w:fldChar w:fldCharType="begin"/>
    </w:r>
    <w:r>
      <w:rPr>
        <w:rStyle w:val="DeltaViewInsertion"/>
        <w:sz w:val="12"/>
        <w:lang w:val="en-US"/>
      </w:rPr>
      <w:instrText xml:space="preserve"> DATE \@"MM\/dd\/yy" </w:instrText>
    </w:r>
    <w:r>
      <w:rPr>
        <w:rStyle w:val="DeltaViewInsertion"/>
        <w:sz w:val="12"/>
        <w:lang w:val="en-US"/>
      </w:rPr>
      <w:fldChar w:fldCharType="separate"/>
    </w:r>
    <w:r>
      <w:rPr>
        <w:rStyle w:val="DeltaViewInsertion"/>
        <w:sz w:val="12"/>
        <w:lang w:val="en-US"/>
      </w:rPr>
      <w:t>09/27/25</w:t>
    </w:r>
    <w:r>
      <w:rPr>
        <w:rStyle w:val="DeltaViewInsertion"/>
        <w:sz w:val="12"/>
        <w:lang w:val="en-US"/>
      </w:rPr>
      <w:fldChar w:fldCharType="end"/>
    </w:r>
    <w:r>
      <w:rPr>
        <w:rStyle w:val="PageNumber"/>
        <w:color w:val="000000"/>
        <w:sz w:val="12"/>
      </w:rPr>
      <w:t xml:space="preserve">  </w:t>
    </w:r>
    <w:r>
      <w:rPr>
        <w:rStyle w:val="DeltaViewInsertion"/>
        <w:sz w:val="12"/>
        <w:lang w:val="en-US"/>
      </w:rPr>
      <w:fldChar w:fldCharType="begin"/>
    </w:r>
    <w:r>
      <w:rPr>
        <w:rStyle w:val="DeltaViewInsertion"/>
        <w:sz w:val="12"/>
        <w:lang w:val="en-US"/>
      </w:rPr>
      <w:instrText xml:space="preserve"> TIME \@"H:mm\ AM/PM" </w:instrText>
    </w:r>
    <w:r>
      <w:rPr>
        <w:rStyle w:val="DeltaViewInsertion"/>
        <w:sz w:val="12"/>
        <w:lang w:val="en-US"/>
      </w:rPr>
      <w:fldChar w:fldCharType="separate"/>
    </w:r>
    <w:r>
      <w:rPr>
        <w:rStyle w:val="DeltaViewInsertion"/>
        <w:sz w:val="12"/>
        <w:lang w:val="en-US"/>
      </w:rPr>
      <w:t>7:35 PM</w:t>
    </w:r>
    <w:r>
      <w:rPr>
        <w:rStyle w:val="DeltaViewInsertion"/>
        <w:sz w:val="12"/>
        <w:lang w:val="en-US"/>
      </w:rPr>
      <w:fldChar w:fldCharType="end"/>
    </w:r>
  </w:p>
  <w:p>
    <w:pPr>
      <w:pStyle w:val="Footer"/>
      <w:bidi w:val="0"/>
      <w:jc w:val="center"/>
      <w:rPr>
        <w:rFonts w:ascii="Times New Roman" w:hAnsi="Times New Roman"/>
        <w:color w:val="000000"/>
        <w:lang w:val="en-US"/>
      </w:rPr>
    </w:pPr>
    <w:r>
      <w:rPr>
        <w:rStyle w:val="DeltaViewDeletion"/>
        <w:sz w:val="20"/>
        <w:lang w:val="en-US"/>
      </w:rPr>
      <w:fldChar w:fldCharType="begin"/>
    </w:r>
    <w:r>
      <w:rPr>
        <w:rStyle w:val="DeltaViewDeletion"/>
        <w:sz w:val="20"/>
        <w:lang w:val="en-US"/>
      </w:rPr>
      <w:instrText xml:space="preserve"> PAGE </w:instrText>
    </w:r>
    <w:r>
      <w:rPr>
        <w:rStyle w:val="DeltaViewDeletion"/>
        <w:sz w:val="20"/>
        <w:lang w:val="en-US"/>
      </w:rPr>
      <w:fldChar w:fldCharType="separate"/>
    </w:r>
    <w:r>
      <w:rPr>
        <w:rStyle w:val="DeltaViewDeletion"/>
        <w:sz w:val="20"/>
        <w:lang w:val="en-US"/>
      </w:rPr>
      <w:t>13</w:t>
    </w:r>
    <w:r>
      <w:rPr>
        <w:rStyle w:val="DeltaViewDeletion"/>
        <w:sz w:val="20"/>
        <w:lang w:val="en-US"/>
      </w:rPr>
      <w:fldChar w:fldCharType="end"/>
    </w:r>
    <w:r>
      <w:rPr>
        <w:rStyle w:val="PageNumber"/>
        <w:vanish/>
        <w:color w:val="000000"/>
        <w:sz w:val="12"/>
      </w:rPr>
      <w:t xml:space="preserve"> </w:t>
    </w:r>
    <w:r>
      <w:rPr>
        <w:rStyle w:val="DeltaViewInsertion"/>
        <w:sz w:val="20"/>
        <w:lang w:val="en-US"/>
      </w:rPr>
      <w:fldChar w:fldCharType="begin"/>
    </w:r>
    <w:r>
      <w:rPr>
        <w:rStyle w:val="DeltaViewInsertion"/>
        <w:sz w:val="20"/>
        <w:lang w:val="en-US"/>
      </w:rPr>
      <w:instrText xml:space="preserve"> PAGE </w:instrText>
    </w:r>
    <w:r>
      <w:rPr>
        <w:rStyle w:val="DeltaViewInsertion"/>
        <w:sz w:val="20"/>
        <w:lang w:val="en-US"/>
      </w:rPr>
      <w:fldChar w:fldCharType="separate"/>
    </w:r>
    <w:r>
      <w:rPr>
        <w:rStyle w:val="DeltaViewInsertion"/>
        <w:sz w:val="20"/>
        <w:lang w:val="en-US"/>
      </w:rPr>
      <w:t>13</w:t>
    </w:r>
    <w:r>
      <w:rPr>
        <w:rStyle w:val="DeltaViewInsertion"/>
        <w:sz w:val="20"/>
        <w:lang w:val="en-US"/>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color w:val="000000"/>
        <w:sz w:val="12"/>
      </w:rPr>
    </w:pPr>
    <w:r>
      <w:rPr>
        <w:rStyle w:val="PageNumber"/>
        <w:sz w:val="12"/>
      </w:rPr>
      <w:t xml:space="preserve">NYC </w:t>
    </w:r>
    <w:bookmarkStart w:id="357" w:name="_DV_C2"/>
    <w:r>
      <w:rPr>
        <w:rStyle w:val="DeltaViewDeletion"/>
        <w:sz w:val="12"/>
      </w:rPr>
      <w:t>362726.4</w:t>
    </w:r>
    <w:bookmarkStart w:id="358" w:name="_DV_C1"/>
    <w:bookmarkEnd w:id="357"/>
    <w:r>
      <w:rPr>
        <w:rStyle w:val="DeltaViewInsertion"/>
        <w:sz w:val="12"/>
      </w:rPr>
      <w:t>362726.3</w:t>
    </w:r>
    <w:bookmarkEnd w:id="358"/>
    <w:r>
      <w:rPr>
        <w:rStyle w:val="PageNumber"/>
        <w:color w:val="000000"/>
        <w:sz w:val="12"/>
      </w:rPr>
      <w:t xml:space="preserve"> 24571 313 12/21/00 1:48 PM</w:t>
    </w:r>
  </w:p>
  <w:p>
    <w:pPr>
      <w:pStyle w:val="Footer"/>
      <w:bidi w:val="0"/>
      <w:jc w:val="center"/>
      <w:rPr>
        <w:rFonts w:ascii="Times New Roman" w:hAnsi="Times New Roman"/>
        <w:color w:val="000000"/>
        <w:lang w:val="en-US"/>
      </w:rPr>
    </w:pPr>
    <w:r>
      <w:rPr>
        <w:rStyle w:val="DeltaViewDeletion"/>
        <w:sz w:val="20"/>
        <w:lang w:val="en-US"/>
      </w:rPr>
      <w:fldChar w:fldCharType="begin"/>
    </w:r>
    <w:r>
      <w:rPr>
        <w:rStyle w:val="DeltaViewDeletion"/>
        <w:sz w:val="20"/>
        <w:lang w:val="en-US"/>
      </w:rPr>
      <w:instrText xml:space="preserve"> PAGE </w:instrText>
    </w:r>
    <w:r>
      <w:rPr>
        <w:rStyle w:val="DeltaViewDeletion"/>
        <w:sz w:val="20"/>
        <w:lang w:val="en-US"/>
      </w:rPr>
      <w:fldChar w:fldCharType="separate"/>
    </w:r>
    <w:r>
      <w:rPr>
        <w:rStyle w:val="DeltaViewDeletion"/>
        <w:sz w:val="20"/>
        <w:lang w:val="en-US"/>
      </w:rPr>
      <w:t>9</w:t>
    </w:r>
    <w:r>
      <w:rPr>
        <w:rStyle w:val="DeltaViewDeletion"/>
        <w:sz w:val="20"/>
        <w:lang w:val="en-US"/>
      </w:rPr>
      <w:fldChar w:fldCharType="end"/>
    </w:r>
    <w:r>
      <w:rPr>
        <w:rStyle w:val="PageNumber"/>
        <w:vanish/>
        <w:color w:val="000000"/>
        <w:sz w:val="12"/>
      </w:rPr>
      <w:t xml:space="preserve"> </w:t>
    </w:r>
    <w:r>
      <w:rPr>
        <w:rStyle w:val="DeltaViewInsertion"/>
        <w:sz w:val="20"/>
        <w:lang w:val="en-US"/>
      </w:rPr>
      <w:fldChar w:fldCharType="begin"/>
    </w:r>
    <w:r>
      <w:rPr>
        <w:rStyle w:val="DeltaViewInsertion"/>
        <w:sz w:val="20"/>
        <w:lang w:val="en-US"/>
      </w:rPr>
      <w:instrText xml:space="preserve"> PAGE </w:instrText>
    </w:r>
    <w:r>
      <w:rPr>
        <w:rStyle w:val="DeltaViewInsertion"/>
        <w:sz w:val="20"/>
        <w:lang w:val="en-US"/>
      </w:rPr>
      <w:fldChar w:fldCharType="separate"/>
    </w:r>
    <w:r>
      <w:rPr>
        <w:rStyle w:val="DeltaViewInsertion"/>
        <w:sz w:val="20"/>
        <w:lang w:val="en-US"/>
      </w:rPr>
      <w:t>9</w:t>
    </w:r>
    <w:r>
      <w:rPr>
        <w:rStyle w:val="DeltaViewInsertion"/>
        <w:sz w:val="20"/>
        <w:lang w:val="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color w:val="000000"/>
        <w:sz w:val="12"/>
      </w:rPr>
    </w:pPr>
    <w:r>
      <w:rPr>
        <w:rStyle w:val="PageNumber"/>
        <w:sz w:val="12"/>
      </w:rPr>
      <w:t xml:space="preserve">NYC </w:t>
    </w:r>
    <w:bookmarkStart w:id="359" w:name="_DV_C2"/>
    <w:r>
      <w:rPr>
        <w:rStyle w:val="DeltaViewDeletion"/>
        <w:sz w:val="12"/>
      </w:rPr>
      <w:t>362726.4</w:t>
    </w:r>
    <w:bookmarkStart w:id="360" w:name="_DV_C1"/>
    <w:bookmarkEnd w:id="359"/>
    <w:r>
      <w:rPr>
        <w:rStyle w:val="DeltaViewInsertion"/>
        <w:sz w:val="12"/>
      </w:rPr>
      <w:t>362726.3</w:t>
    </w:r>
    <w:bookmarkEnd w:id="360"/>
    <w:r>
      <w:rPr>
        <w:rStyle w:val="PageNumber"/>
        <w:color w:val="000000"/>
        <w:sz w:val="12"/>
      </w:rPr>
      <w:t xml:space="preserve"> 24571 313 12/21/00 1:48 PM</w:t>
    </w:r>
  </w:p>
  <w:p>
    <w:pPr>
      <w:pStyle w:val="Footer"/>
      <w:bidi w:val="0"/>
      <w:jc w:val="center"/>
      <w:rPr>
        <w:rFonts w:ascii="Times New Roman" w:hAnsi="Times New Roman"/>
        <w:color w:val="000000"/>
        <w:lang w:val="en-US"/>
      </w:rPr>
    </w:pPr>
    <w:r>
      <w:rPr>
        <w:rStyle w:val="DeltaViewDeletion"/>
        <w:sz w:val="20"/>
        <w:lang w:val="en-US"/>
      </w:rPr>
      <w:fldChar w:fldCharType="begin"/>
    </w:r>
    <w:r>
      <w:rPr>
        <w:rStyle w:val="DeltaViewDeletion"/>
        <w:sz w:val="20"/>
        <w:lang w:val="en-US"/>
      </w:rPr>
      <w:instrText xml:space="preserve"> PAGE </w:instrText>
    </w:r>
    <w:r>
      <w:rPr>
        <w:rStyle w:val="DeltaViewDeletion"/>
        <w:sz w:val="20"/>
        <w:lang w:val="en-US"/>
      </w:rPr>
      <w:fldChar w:fldCharType="separate"/>
    </w:r>
    <w:r>
      <w:rPr>
        <w:rStyle w:val="DeltaViewDeletion"/>
        <w:sz w:val="20"/>
        <w:lang w:val="en-US"/>
      </w:rPr>
      <w:t>9</w:t>
    </w:r>
    <w:r>
      <w:rPr>
        <w:rStyle w:val="DeltaViewDeletion"/>
        <w:sz w:val="20"/>
        <w:lang w:val="en-US"/>
      </w:rPr>
      <w:fldChar w:fldCharType="end"/>
    </w:r>
    <w:r>
      <w:rPr>
        <w:rStyle w:val="PageNumber"/>
        <w:vanish/>
        <w:color w:val="000000"/>
        <w:sz w:val="12"/>
      </w:rPr>
      <w:t xml:space="preserve"> </w:t>
    </w:r>
    <w:r>
      <w:rPr>
        <w:rStyle w:val="DeltaViewInsertion"/>
        <w:sz w:val="20"/>
        <w:lang w:val="en-US"/>
      </w:rPr>
      <w:fldChar w:fldCharType="begin"/>
    </w:r>
    <w:r>
      <w:rPr>
        <w:rStyle w:val="DeltaViewInsertion"/>
        <w:sz w:val="20"/>
        <w:lang w:val="en-US"/>
      </w:rPr>
      <w:instrText xml:space="preserve"> PAGE </w:instrText>
    </w:r>
    <w:r>
      <w:rPr>
        <w:rStyle w:val="DeltaViewInsertion"/>
        <w:sz w:val="20"/>
        <w:lang w:val="en-US"/>
      </w:rPr>
      <w:fldChar w:fldCharType="separate"/>
    </w:r>
    <w:r>
      <w:rPr>
        <w:rStyle w:val="DeltaViewInsertion"/>
        <w:sz w:val="20"/>
        <w:lang w:val="en-US"/>
      </w:rPr>
      <w:t>9</w:t>
    </w:r>
    <w:r>
      <w:rPr>
        <w:rStyle w:val="DeltaViewInsertion"/>
        <w:sz w:val="20"/>
        <w:lang w:val="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color w:val="000000"/>
        <w:sz w:val="12"/>
      </w:rPr>
    </w:pPr>
    <w:r>
      <w:rPr>
        <w:rStyle w:val="PageNumber"/>
        <w:sz w:val="12"/>
      </w:rPr>
      <w:t xml:space="preserve">NYC </w:t>
    </w:r>
    <w:bookmarkStart w:id="378" w:name="_DV_C171"/>
    <w:r>
      <w:rPr>
        <w:rStyle w:val="DeltaViewDeletion"/>
        <w:sz w:val="12"/>
      </w:rPr>
      <w:t>362726.4</w:t>
    </w:r>
    <w:bookmarkStart w:id="379" w:name="_DV_C170"/>
    <w:bookmarkEnd w:id="378"/>
    <w:r>
      <w:rPr>
        <w:rStyle w:val="DeltaViewInsertion"/>
        <w:sz w:val="12"/>
      </w:rPr>
      <w:t>362726.3</w:t>
    </w:r>
    <w:bookmarkEnd w:id="379"/>
    <w:r>
      <w:rPr>
        <w:rStyle w:val="PageNumber"/>
        <w:color w:val="000000"/>
        <w:sz w:val="12"/>
      </w:rPr>
      <w:t xml:space="preserve"> 24571 313 12/21/00 1:48 PM</w:t>
    </w:r>
  </w:p>
  <w:p>
    <w:pPr>
      <w:pStyle w:val="Footer"/>
      <w:bidi w:val="0"/>
      <w:jc w:val="center"/>
      <w:rPr>
        <w:rFonts w:ascii="Times New Roman" w:hAnsi="Times New Roman"/>
        <w:color w:val="000000"/>
        <w:lang w:val="en-US"/>
      </w:rPr>
    </w:pPr>
    <w:r>
      <w:rPr>
        <w:rStyle w:val="DeltaViewDeletion"/>
        <w:sz w:val="20"/>
        <w:lang w:val="en-US"/>
      </w:rPr>
      <w:fldChar w:fldCharType="begin"/>
    </w:r>
    <w:r>
      <w:rPr>
        <w:rStyle w:val="DeltaViewDeletion"/>
        <w:sz w:val="20"/>
        <w:lang w:val="en-US"/>
      </w:rPr>
      <w:instrText xml:space="preserve"> PAGE </w:instrText>
    </w:r>
    <w:r>
      <w:rPr>
        <w:rStyle w:val="DeltaViewDeletion"/>
        <w:sz w:val="20"/>
        <w:lang w:val="en-US"/>
      </w:rPr>
      <w:fldChar w:fldCharType="separate"/>
    </w:r>
    <w:r>
      <w:rPr>
        <w:rStyle w:val="DeltaViewDeletion"/>
        <w:sz w:val="20"/>
        <w:lang w:val="en-US"/>
      </w:rPr>
      <w:t>10</w:t>
    </w:r>
    <w:r>
      <w:rPr>
        <w:rStyle w:val="DeltaViewDeletion"/>
        <w:sz w:val="20"/>
        <w:lang w:val="en-US"/>
      </w:rPr>
      <w:fldChar w:fldCharType="end"/>
    </w:r>
    <w:r>
      <w:rPr>
        <w:rStyle w:val="PageNumber"/>
        <w:vanish/>
        <w:color w:val="000000"/>
        <w:sz w:val="12"/>
      </w:rPr>
      <w:t xml:space="preserve"> </w:t>
    </w:r>
    <w:r>
      <w:rPr>
        <w:rStyle w:val="DeltaViewInsertion"/>
        <w:sz w:val="20"/>
        <w:lang w:val="en-US"/>
      </w:rPr>
      <w:fldChar w:fldCharType="begin"/>
    </w:r>
    <w:r>
      <w:rPr>
        <w:rStyle w:val="DeltaViewInsertion"/>
        <w:sz w:val="20"/>
        <w:lang w:val="en-US"/>
      </w:rPr>
      <w:instrText xml:space="preserve"> PAGE </w:instrText>
    </w:r>
    <w:r>
      <w:rPr>
        <w:rStyle w:val="DeltaViewInsertion"/>
        <w:sz w:val="20"/>
        <w:lang w:val="en-US"/>
      </w:rPr>
      <w:fldChar w:fldCharType="separate"/>
    </w:r>
    <w:r>
      <w:rPr>
        <w:rStyle w:val="DeltaViewInsertion"/>
        <w:sz w:val="20"/>
        <w:lang w:val="en-US"/>
      </w:rPr>
      <w:t>10</w:t>
    </w:r>
    <w:r>
      <w:rPr>
        <w:rStyle w:val="DeltaViewInsertion"/>
        <w:sz w:val="20"/>
        <w:lang w:val="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color w:val="000000"/>
        <w:sz w:val="12"/>
      </w:rPr>
    </w:pPr>
    <w:r>
      <w:rPr>
        <w:rStyle w:val="PageNumber"/>
        <w:sz w:val="12"/>
      </w:rPr>
      <w:t xml:space="preserve">NYC </w:t>
    </w:r>
    <w:bookmarkStart w:id="380" w:name="_DV_C171"/>
    <w:r>
      <w:rPr>
        <w:rStyle w:val="DeltaViewDeletion"/>
        <w:sz w:val="12"/>
      </w:rPr>
      <w:t>362726.4</w:t>
    </w:r>
    <w:bookmarkStart w:id="381" w:name="_DV_C170"/>
    <w:bookmarkEnd w:id="380"/>
    <w:r>
      <w:rPr>
        <w:rStyle w:val="DeltaViewInsertion"/>
        <w:sz w:val="12"/>
      </w:rPr>
      <w:t>362726.3</w:t>
    </w:r>
    <w:bookmarkEnd w:id="381"/>
    <w:r>
      <w:rPr>
        <w:rStyle w:val="PageNumber"/>
        <w:color w:val="000000"/>
        <w:sz w:val="12"/>
      </w:rPr>
      <w:t xml:space="preserve"> 24571 313 12/21/00 1:48 PM</w:t>
    </w:r>
  </w:p>
  <w:p>
    <w:pPr>
      <w:pStyle w:val="Footer"/>
      <w:bidi w:val="0"/>
      <w:jc w:val="center"/>
      <w:rPr>
        <w:rFonts w:ascii="Times New Roman" w:hAnsi="Times New Roman"/>
        <w:color w:val="000000"/>
        <w:lang w:val="en-US"/>
      </w:rPr>
    </w:pPr>
    <w:r>
      <w:rPr>
        <w:rStyle w:val="DeltaViewDeletion"/>
        <w:sz w:val="20"/>
        <w:lang w:val="en-US"/>
      </w:rPr>
      <w:fldChar w:fldCharType="begin"/>
    </w:r>
    <w:r>
      <w:rPr>
        <w:rStyle w:val="DeltaViewDeletion"/>
        <w:sz w:val="20"/>
        <w:lang w:val="en-US"/>
      </w:rPr>
      <w:instrText xml:space="preserve"> PAGE </w:instrText>
    </w:r>
    <w:r>
      <w:rPr>
        <w:rStyle w:val="DeltaViewDeletion"/>
        <w:sz w:val="20"/>
        <w:lang w:val="en-US"/>
      </w:rPr>
      <w:fldChar w:fldCharType="separate"/>
    </w:r>
    <w:r>
      <w:rPr>
        <w:rStyle w:val="DeltaViewDeletion"/>
        <w:sz w:val="20"/>
        <w:lang w:val="en-US"/>
      </w:rPr>
      <w:t>10</w:t>
    </w:r>
    <w:r>
      <w:rPr>
        <w:rStyle w:val="DeltaViewDeletion"/>
        <w:sz w:val="20"/>
        <w:lang w:val="en-US"/>
      </w:rPr>
      <w:fldChar w:fldCharType="end"/>
    </w:r>
    <w:r>
      <w:rPr>
        <w:rStyle w:val="PageNumber"/>
        <w:vanish/>
        <w:color w:val="000000"/>
        <w:sz w:val="12"/>
      </w:rPr>
      <w:t xml:space="preserve"> </w:t>
    </w:r>
    <w:r>
      <w:rPr>
        <w:rStyle w:val="DeltaViewInsertion"/>
        <w:sz w:val="20"/>
        <w:lang w:val="en-US"/>
      </w:rPr>
      <w:fldChar w:fldCharType="begin"/>
    </w:r>
    <w:r>
      <w:rPr>
        <w:rStyle w:val="DeltaViewInsertion"/>
        <w:sz w:val="20"/>
        <w:lang w:val="en-US"/>
      </w:rPr>
      <w:instrText xml:space="preserve"> PAGE </w:instrText>
    </w:r>
    <w:r>
      <w:rPr>
        <w:rStyle w:val="DeltaViewInsertion"/>
        <w:sz w:val="20"/>
        <w:lang w:val="en-US"/>
      </w:rPr>
      <w:fldChar w:fldCharType="separate"/>
    </w:r>
    <w:r>
      <w:rPr>
        <w:rStyle w:val="DeltaViewInsertion"/>
        <w:sz w:val="20"/>
        <w:lang w:val="en-US"/>
      </w:rPr>
      <w:t>10</w:t>
    </w:r>
    <w:r>
      <w:rPr>
        <w:rStyle w:val="DeltaViewInsertion"/>
        <w:sz w:val="20"/>
        <w:lang w:val="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color w:val="000000"/>
        <w:sz w:val="12"/>
      </w:rPr>
    </w:pPr>
    <w:bookmarkStart w:id="389" w:name="_DV_C176"/>
    <w:r>
      <w:rPr>
        <w:rStyle w:val="DeltaViewDeletion"/>
        <w:sz w:val="12"/>
      </w:rPr>
      <w:t>NYC 362726.4 24571 313 12/21/00 1:48 PM</w:t>
    </w:r>
    <w:bookmarkStart w:id="390" w:name="_DV_C175"/>
    <w:bookmarkEnd w:id="389"/>
    <w:r>
      <w:rPr>
        <w:rStyle w:val="DeltaViewInsertion"/>
        <w:sz w:val="12"/>
      </w:rPr>
      <w:t>Esager/2000/contract/morgan.doc</w:t>
    </w:r>
    <w:bookmarkEnd w:id="390"/>
  </w:p>
  <w:p>
    <w:pPr>
      <w:pStyle w:val="Footer"/>
      <w:bidi w:val="0"/>
      <w:jc w:val="center"/>
      <w:rPr>
        <w:rFonts w:ascii="Times New Roman" w:hAnsi="Times New Roman"/>
        <w:color w:val="000000"/>
        <w:lang w:val="en-US"/>
      </w:rPr>
    </w:pPr>
    <w:r>
      <w:rPr>
        <w:rStyle w:val="DeltaViewDeletion"/>
        <w:sz w:val="20"/>
        <w:lang w:val="en-US"/>
      </w:rPr>
      <w:fldChar w:fldCharType="begin"/>
    </w:r>
    <w:r>
      <w:rPr>
        <w:rStyle w:val="DeltaViewDeletion"/>
        <w:sz w:val="20"/>
        <w:lang w:val="en-US"/>
      </w:rPr>
      <w:instrText xml:space="preserve"> PAGE </w:instrText>
    </w:r>
    <w:r>
      <w:rPr>
        <w:rStyle w:val="DeltaViewDeletion"/>
        <w:sz w:val="20"/>
        <w:lang w:val="en-US"/>
      </w:rPr>
      <w:fldChar w:fldCharType="separate"/>
    </w:r>
    <w:r>
      <w:rPr>
        <w:rStyle w:val="DeltaViewDeletion"/>
        <w:sz w:val="20"/>
        <w:lang w:val="en-US"/>
      </w:rPr>
      <w:t>11</w:t>
    </w:r>
    <w:r>
      <w:rPr>
        <w:rStyle w:val="DeltaViewDeletion"/>
        <w:sz w:val="20"/>
        <w:lang w:val="en-US"/>
      </w:rPr>
      <w:fldChar w:fldCharType="end"/>
    </w:r>
    <w:r>
      <w:rPr>
        <w:rStyle w:val="PageNumber"/>
        <w:vanish/>
        <w:color w:val="000000"/>
        <w:sz w:val="12"/>
      </w:rPr>
      <w:t xml:space="preserve"> </w:t>
    </w:r>
    <w:r>
      <w:rPr>
        <w:rStyle w:val="DeltaViewInsertion"/>
        <w:sz w:val="20"/>
        <w:lang w:val="en-US"/>
      </w:rPr>
      <w:fldChar w:fldCharType="begin"/>
    </w:r>
    <w:r>
      <w:rPr>
        <w:rStyle w:val="DeltaViewInsertion"/>
        <w:sz w:val="20"/>
        <w:lang w:val="en-US"/>
      </w:rPr>
      <w:instrText xml:space="preserve"> PAGE </w:instrText>
    </w:r>
    <w:r>
      <w:rPr>
        <w:rStyle w:val="DeltaViewInsertion"/>
        <w:sz w:val="20"/>
        <w:lang w:val="en-US"/>
      </w:rPr>
      <w:fldChar w:fldCharType="separate"/>
    </w:r>
    <w:r>
      <w:rPr>
        <w:rStyle w:val="DeltaViewInsertion"/>
        <w:sz w:val="20"/>
        <w:lang w:val="en-US"/>
      </w:rPr>
      <w:t>11</w:t>
    </w:r>
    <w:r>
      <w:rPr>
        <w:rStyle w:val="DeltaViewInsertion"/>
        <w:sz w:val="20"/>
        <w:lang w:val="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color w:val="000000"/>
        <w:sz w:val="12"/>
      </w:rPr>
    </w:pPr>
    <w:bookmarkStart w:id="391" w:name="_DV_C176"/>
    <w:r>
      <w:rPr>
        <w:rStyle w:val="DeltaViewDeletion"/>
        <w:sz w:val="12"/>
      </w:rPr>
      <w:t>NYC 362726.4 24571 313 12/21/00 1:48 PM</w:t>
    </w:r>
    <w:bookmarkStart w:id="392" w:name="_DV_C175"/>
    <w:bookmarkEnd w:id="391"/>
    <w:r>
      <w:rPr>
        <w:rStyle w:val="DeltaViewInsertion"/>
        <w:sz w:val="12"/>
      </w:rPr>
      <w:t>Esager/2000/contract/morgan.doc</w:t>
    </w:r>
    <w:bookmarkEnd w:id="392"/>
  </w:p>
  <w:p>
    <w:pPr>
      <w:pStyle w:val="Footer"/>
      <w:bidi w:val="0"/>
      <w:jc w:val="center"/>
      <w:rPr>
        <w:rFonts w:ascii="Times New Roman" w:hAnsi="Times New Roman"/>
        <w:color w:val="000000"/>
        <w:lang w:val="en-US"/>
      </w:rPr>
    </w:pPr>
    <w:r>
      <w:rPr>
        <w:rStyle w:val="DeltaViewDeletion"/>
        <w:sz w:val="20"/>
        <w:lang w:val="en-US"/>
      </w:rPr>
      <w:fldChar w:fldCharType="begin"/>
    </w:r>
    <w:r>
      <w:rPr>
        <w:rStyle w:val="DeltaViewDeletion"/>
        <w:sz w:val="20"/>
        <w:lang w:val="en-US"/>
      </w:rPr>
      <w:instrText xml:space="preserve"> PAGE </w:instrText>
    </w:r>
    <w:r>
      <w:rPr>
        <w:rStyle w:val="DeltaViewDeletion"/>
        <w:sz w:val="20"/>
        <w:lang w:val="en-US"/>
      </w:rPr>
      <w:fldChar w:fldCharType="separate"/>
    </w:r>
    <w:r>
      <w:rPr>
        <w:rStyle w:val="DeltaViewDeletion"/>
        <w:sz w:val="20"/>
        <w:lang w:val="en-US"/>
      </w:rPr>
      <w:t>11</w:t>
    </w:r>
    <w:r>
      <w:rPr>
        <w:rStyle w:val="DeltaViewDeletion"/>
        <w:sz w:val="20"/>
        <w:lang w:val="en-US"/>
      </w:rPr>
      <w:fldChar w:fldCharType="end"/>
    </w:r>
    <w:r>
      <w:rPr>
        <w:rStyle w:val="PageNumber"/>
        <w:vanish/>
        <w:color w:val="000000"/>
        <w:sz w:val="12"/>
      </w:rPr>
      <w:t xml:space="preserve"> </w:t>
    </w:r>
    <w:r>
      <w:rPr>
        <w:rStyle w:val="DeltaViewInsertion"/>
        <w:sz w:val="20"/>
        <w:lang w:val="en-US"/>
      </w:rPr>
      <w:fldChar w:fldCharType="begin"/>
    </w:r>
    <w:r>
      <w:rPr>
        <w:rStyle w:val="DeltaViewInsertion"/>
        <w:sz w:val="20"/>
        <w:lang w:val="en-US"/>
      </w:rPr>
      <w:instrText xml:space="preserve"> PAGE </w:instrText>
    </w:r>
    <w:r>
      <w:rPr>
        <w:rStyle w:val="DeltaViewInsertion"/>
        <w:sz w:val="20"/>
        <w:lang w:val="en-US"/>
      </w:rPr>
      <w:fldChar w:fldCharType="separate"/>
    </w:r>
    <w:r>
      <w:rPr>
        <w:rStyle w:val="DeltaViewInsertion"/>
        <w:sz w:val="20"/>
        <w:lang w:val="en-US"/>
      </w:rPr>
      <w:t>11</w:t>
    </w:r>
    <w:r>
      <w:rPr>
        <w:rStyle w:val="DeltaViewInsertion"/>
        <w:sz w:val="20"/>
        <w:lang w:val="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Section %1."/>
      <w:lvlJc w:val="start"/>
      <w:pPr>
        <w:tabs>
          <w:tab w:val="num" w:pos="0"/>
        </w:tabs>
        <w:ind w:start="0" w:firstLine="720"/>
      </w:pPr>
      <w:rPr>
        <w:sz w:val="24"/>
        <w:i w:val="false"/>
        <w:b w:val="false"/>
        <w:rFonts w:ascii="Times New Roman" w:hAnsi="Times New Roman"/>
      </w:rPr>
    </w:lvl>
    <w:lvl w:ilvl="1">
      <w:start w:val="1"/>
      <w:numFmt w:val="lowerLetter"/>
      <w:lvlText w:val="(%2)"/>
      <w:lvlJc w:val="start"/>
      <w:pPr>
        <w:tabs>
          <w:tab w:val="num" w:pos="1800"/>
        </w:tabs>
        <w:ind w:start="0" w:firstLine="1440"/>
      </w:pPr>
      <w:rPr>
        <w:sz w:val="24"/>
        <w:i w:val="false"/>
        <w:b w:val="false"/>
        <w:rFonts w:ascii="Times New Roman" w:hAnsi="Times New Roman"/>
      </w:rPr>
    </w:lvl>
    <w:lvl w:ilvl="2">
      <w:start w:val="1"/>
      <w:numFmt w:val="lowerRoman"/>
      <w:lvlText w:val="(%3)"/>
      <w:lvlJc w:val="start"/>
      <w:pPr>
        <w:tabs>
          <w:tab w:val="num" w:pos="2880"/>
        </w:tabs>
        <w:ind w:start="720" w:firstLine="1440"/>
      </w:pPr>
      <w:rPr>
        <w:sz w:val="24"/>
        <w:i w:val="false"/>
        <w:b w:val="false"/>
        <w:rFonts w:ascii="Times New Roman" w:hAnsi="Times New Roman"/>
      </w:rPr>
    </w:lvl>
    <w:lvl w:ilvl="3">
      <w:start w:val="1"/>
      <w:numFmt w:val="decimal"/>
      <w:lvlText w:val="(%4)"/>
      <w:lvlJc w:val="start"/>
      <w:pPr>
        <w:tabs>
          <w:tab w:val="num" w:pos="3240"/>
        </w:tabs>
        <w:ind w:start="1440" w:firstLine="144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2">
    <w:lvl w:ilvl="0">
      <w:start w:val="1"/>
      <w:numFmt w:val="decimal"/>
      <w:suff w:val="space"/>
      <w:lvlText w:val="Section %1."/>
      <w:lvlJc w:val="start"/>
      <w:pPr>
        <w:tabs>
          <w:tab w:val="num" w:pos="0"/>
        </w:tabs>
        <w:ind w:start="0" w:firstLine="720"/>
      </w:pPr>
      <w:rPr>
        <w:sz w:val="24"/>
        <w:i w:val="false"/>
        <w:b w:val="false"/>
        <w:rFonts w:ascii="Times New Roman" w:hAnsi="Times New Roman"/>
      </w:rPr>
    </w:lvl>
    <w:lvl w:ilvl="1">
      <w:start w:val="1"/>
      <w:numFmt w:val="lowerLetter"/>
      <w:lvlText w:val="(%2)"/>
      <w:lvlJc w:val="start"/>
      <w:pPr>
        <w:tabs>
          <w:tab w:val="num" w:pos="1800"/>
        </w:tabs>
        <w:ind w:start="0" w:firstLine="1440"/>
      </w:pPr>
      <w:rPr>
        <w:sz w:val="24"/>
        <w:i w:val="false"/>
        <w:b w:val="false"/>
        <w:rFonts w:ascii="Times New Roman" w:hAnsi="Times New Roman"/>
      </w:rPr>
    </w:lvl>
    <w:lvl w:ilvl="2">
      <w:start w:val="1"/>
      <w:numFmt w:val="lowerRoman"/>
      <w:lvlText w:val="(%3)"/>
      <w:lvlJc w:val="start"/>
      <w:pPr>
        <w:tabs>
          <w:tab w:val="num" w:pos="2880"/>
        </w:tabs>
        <w:ind w:start="720" w:firstLine="1440"/>
      </w:pPr>
      <w:rPr>
        <w:sz w:val="24"/>
        <w:i w:val="false"/>
        <w:b w:val="false"/>
        <w:rFonts w:ascii="Times New Roman" w:hAnsi="Times New Roman"/>
      </w:rPr>
    </w:lvl>
    <w:lvl w:ilvl="3">
      <w:start w:val="1"/>
      <w:numFmt w:val="decimal"/>
      <w:lvlText w:val="(%4)"/>
      <w:lvlJc w:val="start"/>
      <w:pPr>
        <w:tabs>
          <w:tab w:val="num" w:pos="3240"/>
        </w:tabs>
        <w:ind w:start="1440" w:firstLine="144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lvl w:ilvl="3">
        <w:start w:val="1"/>
        <w:numFmt w:val="decimal"/>
        <w:lvlText w:val="(%4)"/>
        <w:lvlJc w:val="start"/>
        <w:pPr>
          <w:tabs>
            <w:tab w:val="num" w:pos="3240"/>
          </w:tabs>
          <w:ind w:start="1440" w:firstLine="1440"/>
        </w:pPr>
        <w:rPr/>
      </w:lvl>
    </w:lvlOverride>
    <w:lvlOverride w:ilvl="3">
      <w:startOverride w:val="1"/>
    </w:lvlOverride>
    <w:lvlOverride w:ilvl="4">
      <w:lvl w:ilvl="4">
        <w:start w:val="1"/>
        <w:numFmt w:val="lowerLetter"/>
        <w:lvlText w:val="(%5)"/>
        <w:lvlJc w:val="start"/>
        <w:pPr>
          <w:tabs>
            <w:tab w:val="num" w:pos="1800"/>
          </w:tabs>
          <w:ind w:start="1800" w:hanging="360"/>
        </w:pPr>
        <w:rPr/>
      </w:lvl>
    </w:lvlOverride>
    <w:lvlOverride w:ilvl="4">
      <w:startOverride w:val="1"/>
    </w:lvlOverride>
    <w:lvlOverride w:ilvl="5">
      <w:lvl w:ilvl="5">
        <w:start w:val="1"/>
        <w:numFmt w:val="lowerRoman"/>
        <w:lvlText w:val="(%6)"/>
        <w:lvlJc w:val="start"/>
        <w:pPr>
          <w:tabs>
            <w:tab w:val="num" w:pos="2160"/>
          </w:tabs>
          <w:ind w:start="2160" w:hanging="360"/>
        </w:pPr>
        <w:rPr/>
      </w:lvl>
    </w:lvlOverride>
    <w:lvlOverride w:ilvl="5">
      <w:startOverride w:val="1"/>
    </w:lvlOverride>
    <w:lvlOverride w:ilvl="6">
      <w:lvl w:ilvl="6">
        <w:start w:val="1"/>
        <w:numFmt w:val="decimal"/>
        <w:lvlText w:val="%7."/>
        <w:lvlJc w:val="start"/>
        <w:pPr>
          <w:tabs>
            <w:tab w:val="num" w:pos="2520"/>
          </w:tabs>
          <w:ind w:start="2520" w:hanging="360"/>
        </w:pPr>
        <w:rPr/>
      </w:lvl>
    </w:lvlOverride>
    <w:lvlOverride w:ilvl="6">
      <w:startOverride w:val="1"/>
    </w:lvlOverride>
    <w:lvlOverride w:ilvl="7">
      <w:lvl w:ilvl="7">
        <w:start w:val="1"/>
        <w:numFmt w:val="lowerLetter"/>
        <w:lvlText w:val="%8."/>
        <w:lvlJc w:val="start"/>
        <w:pPr>
          <w:tabs>
            <w:tab w:val="num" w:pos="2880"/>
          </w:tabs>
          <w:ind w:start="2880" w:hanging="360"/>
        </w:pPr>
        <w:rPr/>
      </w:lvl>
    </w:lvlOverride>
    <w:lvlOverride w:ilvl="7">
      <w:startOverride w:val="1"/>
    </w:lvlOverride>
    <w:lvlOverride w:ilvl="8">
      <w:lvl w:ilvl="8">
        <w:start w:val="1"/>
        <w:numFmt w:val="lowerRoman"/>
        <w:lvlText w:val="%9."/>
        <w:lvlJc w:val="start"/>
        <w:pPr>
          <w:tabs>
            <w:tab w:val="num" w:pos="3240"/>
          </w:tabs>
          <w:ind w:start="3240" w:hanging="360"/>
        </w:pPr>
        <w:rPr/>
      </w:lvl>
    </w:lvlOverride>
  </w:num>
  <w:num w:numId="5">
    <w:abstractNumId w:val="1"/>
    <w:lvlOverride w:ilvl="0">
      <w:startOverride w:val="1"/>
    </w:lvlOverride>
    <w:lvlOverride w:ilvl="1">
      <w:startOverride w:val="1"/>
    </w:lvlOverride>
    <w:lvlOverride w:ilvl="2">
      <w:startOverride w:val="1"/>
    </w:lvlOverride>
    <w:lvlOverride w:ilvl="3">
      <w:lvl w:ilvl="3">
        <w:start w:val="1"/>
        <w:numFmt w:val="decimal"/>
        <w:lvlText w:val="(%4)"/>
        <w:lvlJc w:val="start"/>
        <w:pPr>
          <w:tabs>
            <w:tab w:val="num" w:pos="3240"/>
          </w:tabs>
          <w:ind w:start="1440" w:firstLine="1440"/>
        </w:pPr>
        <w:rPr/>
      </w:lvl>
    </w:lvlOverride>
    <w:lvlOverride w:ilvl="3">
      <w:startOverride w:val="1"/>
    </w:lvlOverride>
    <w:lvlOverride w:ilvl="4">
      <w:lvl w:ilvl="4">
        <w:start w:val="1"/>
        <w:numFmt w:val="lowerLetter"/>
        <w:lvlText w:val="(%5)"/>
        <w:lvlJc w:val="start"/>
        <w:pPr>
          <w:tabs>
            <w:tab w:val="num" w:pos="1800"/>
          </w:tabs>
          <w:ind w:start="1800" w:hanging="360"/>
        </w:pPr>
        <w:rPr/>
      </w:lvl>
    </w:lvlOverride>
    <w:lvlOverride w:ilvl="4">
      <w:startOverride w:val="1"/>
    </w:lvlOverride>
    <w:lvlOverride w:ilvl="5">
      <w:lvl w:ilvl="5">
        <w:start w:val="1"/>
        <w:numFmt w:val="lowerRoman"/>
        <w:lvlText w:val="(%6)"/>
        <w:lvlJc w:val="start"/>
        <w:pPr>
          <w:tabs>
            <w:tab w:val="num" w:pos="2160"/>
          </w:tabs>
          <w:ind w:start="2160" w:hanging="360"/>
        </w:pPr>
        <w:rPr/>
      </w:lvl>
    </w:lvlOverride>
    <w:lvlOverride w:ilvl="5">
      <w:startOverride w:val="1"/>
    </w:lvlOverride>
    <w:lvlOverride w:ilvl="6">
      <w:lvl w:ilvl="6">
        <w:start w:val="1"/>
        <w:numFmt w:val="decimal"/>
        <w:lvlText w:val="%7."/>
        <w:lvlJc w:val="start"/>
        <w:pPr>
          <w:tabs>
            <w:tab w:val="num" w:pos="2520"/>
          </w:tabs>
          <w:ind w:start="2520" w:hanging="360"/>
        </w:pPr>
        <w:rPr/>
      </w:lvl>
    </w:lvlOverride>
    <w:lvlOverride w:ilvl="6">
      <w:startOverride w:val="1"/>
    </w:lvlOverride>
    <w:lvlOverride w:ilvl="7">
      <w:lvl w:ilvl="7">
        <w:start w:val="1"/>
        <w:numFmt w:val="lowerLetter"/>
        <w:lvlText w:val="%8."/>
        <w:lvlJc w:val="start"/>
        <w:pPr>
          <w:tabs>
            <w:tab w:val="num" w:pos="2880"/>
          </w:tabs>
          <w:ind w:start="2880" w:hanging="360"/>
        </w:pPr>
        <w:rPr/>
      </w:lvl>
    </w:lvlOverride>
    <w:lvlOverride w:ilvl="7">
      <w:startOverride w:val="1"/>
    </w:lvlOverride>
    <w:lvlOverride w:ilvl="8">
      <w:lvl w:ilvl="8">
        <w:start w:val="1"/>
        <w:numFmt w:val="lowerRoman"/>
        <w:lvlText w:val="%9."/>
        <w:lvlJc w:val="start"/>
        <w:pPr>
          <w:tabs>
            <w:tab w:val="num" w:pos="3240"/>
          </w:tabs>
          <w:ind w:start="3240" w:hanging="360"/>
        </w:pPr>
        <w:rPr/>
      </w:lvl>
    </w:lvlOverride>
  </w:num>
  <w:num w:numId="6">
    <w:abstractNumId w:val="1"/>
    <w:lvlOverride w:ilvl="0">
      <w:startOverride w:val="1"/>
    </w:lvlOverride>
    <w:lvlOverride w:ilvl="1">
      <w:startOverride w:val="1"/>
    </w:lvlOverride>
    <w:lvlOverride w:ilvl="2">
      <w:startOverride w:val="1"/>
    </w:lvlOverride>
    <w:lvlOverride w:ilvl="3">
      <w:lvl w:ilvl="3">
        <w:start w:val="1"/>
        <w:numFmt w:val="decimal"/>
        <w:lvlText w:val="(%4)"/>
        <w:lvlJc w:val="start"/>
        <w:pPr>
          <w:tabs>
            <w:tab w:val="num" w:pos="3240"/>
          </w:tabs>
          <w:ind w:start="1440" w:firstLine="1440"/>
        </w:pPr>
        <w:rPr/>
      </w:lvl>
    </w:lvlOverride>
    <w:lvlOverride w:ilvl="3">
      <w:startOverride w:val="1"/>
    </w:lvlOverride>
    <w:lvlOverride w:ilvl="4">
      <w:lvl w:ilvl="4">
        <w:start w:val="1"/>
        <w:numFmt w:val="lowerLetter"/>
        <w:lvlText w:val="(%5)"/>
        <w:lvlJc w:val="start"/>
        <w:pPr>
          <w:tabs>
            <w:tab w:val="num" w:pos="1800"/>
          </w:tabs>
          <w:ind w:start="1800" w:hanging="360"/>
        </w:pPr>
        <w:rPr/>
      </w:lvl>
    </w:lvlOverride>
    <w:lvlOverride w:ilvl="4">
      <w:startOverride w:val="1"/>
    </w:lvlOverride>
    <w:lvlOverride w:ilvl="5">
      <w:lvl w:ilvl="5">
        <w:start w:val="1"/>
        <w:numFmt w:val="lowerRoman"/>
        <w:lvlText w:val="(%6)"/>
        <w:lvlJc w:val="start"/>
        <w:pPr>
          <w:tabs>
            <w:tab w:val="num" w:pos="2160"/>
          </w:tabs>
          <w:ind w:start="2160" w:hanging="360"/>
        </w:pPr>
        <w:rPr/>
      </w:lvl>
    </w:lvlOverride>
    <w:lvlOverride w:ilvl="5">
      <w:startOverride w:val="1"/>
    </w:lvlOverride>
    <w:lvlOverride w:ilvl="6">
      <w:lvl w:ilvl="6">
        <w:start w:val="1"/>
        <w:numFmt w:val="decimal"/>
        <w:lvlText w:val="%7."/>
        <w:lvlJc w:val="start"/>
        <w:pPr>
          <w:tabs>
            <w:tab w:val="num" w:pos="2520"/>
          </w:tabs>
          <w:ind w:start="2520" w:hanging="360"/>
        </w:pPr>
        <w:rPr/>
      </w:lvl>
    </w:lvlOverride>
    <w:lvlOverride w:ilvl="6">
      <w:startOverride w:val="1"/>
    </w:lvlOverride>
    <w:lvlOverride w:ilvl="7">
      <w:lvl w:ilvl="7">
        <w:start w:val="1"/>
        <w:numFmt w:val="lowerLetter"/>
        <w:lvlText w:val="%8."/>
        <w:lvlJc w:val="start"/>
        <w:pPr>
          <w:tabs>
            <w:tab w:val="num" w:pos="2880"/>
          </w:tabs>
          <w:ind w:start="2880" w:hanging="360"/>
        </w:pPr>
        <w:rPr/>
      </w:lvl>
    </w:lvlOverride>
    <w:lvlOverride w:ilvl="7">
      <w:startOverride w:val="1"/>
    </w:lvlOverride>
    <w:lvlOverride w:ilvl="8">
      <w:lvl w:ilvl="8">
        <w:start w:val="1"/>
        <w:numFmt w:val="lowerRoman"/>
        <w:lvlText w:val="%9."/>
        <w:lvlJc w:val="start"/>
        <w:pPr>
          <w:tabs>
            <w:tab w:val="num" w:pos="3240"/>
          </w:tabs>
          <w:ind w:start="3240" w:hanging="360"/>
        </w:pPr>
        <w:rPr/>
      </w:lvl>
    </w:lvlOverride>
  </w:num>
  <w:num w:numId="7">
    <w:abstractNumId w:val="1"/>
    <w:lvlOverride w:ilvl="0">
      <w:startOverride w:val="1"/>
    </w:lvlOverride>
    <w:lvlOverride w:ilvl="1">
      <w:startOverride w:val="1"/>
    </w:lvlOverride>
    <w:lvlOverride w:ilvl="2">
      <w:startOverride w:val="1"/>
    </w:lvlOverride>
    <w:lvlOverride w:ilvl="3">
      <w:lvl w:ilvl="3">
        <w:start w:val="1"/>
        <w:numFmt w:val="decimal"/>
        <w:lvlText w:val="(%4)"/>
        <w:lvlJc w:val="start"/>
        <w:pPr>
          <w:tabs>
            <w:tab w:val="num" w:pos="3240"/>
          </w:tabs>
          <w:ind w:start="1440" w:firstLine="1440"/>
        </w:pPr>
        <w:rPr/>
      </w:lvl>
    </w:lvlOverride>
    <w:lvlOverride w:ilvl="3">
      <w:startOverride w:val="1"/>
    </w:lvlOverride>
    <w:lvlOverride w:ilvl="4">
      <w:lvl w:ilvl="4">
        <w:start w:val="1"/>
        <w:numFmt w:val="lowerLetter"/>
        <w:lvlText w:val="(%5)"/>
        <w:lvlJc w:val="start"/>
        <w:pPr>
          <w:tabs>
            <w:tab w:val="num" w:pos="1800"/>
          </w:tabs>
          <w:ind w:start="1800" w:hanging="360"/>
        </w:pPr>
        <w:rPr/>
      </w:lvl>
    </w:lvlOverride>
    <w:lvlOverride w:ilvl="4">
      <w:startOverride w:val="1"/>
    </w:lvlOverride>
    <w:lvlOverride w:ilvl="5">
      <w:lvl w:ilvl="5">
        <w:start w:val="1"/>
        <w:numFmt w:val="lowerRoman"/>
        <w:lvlText w:val="(%6)"/>
        <w:lvlJc w:val="start"/>
        <w:pPr>
          <w:tabs>
            <w:tab w:val="num" w:pos="2160"/>
          </w:tabs>
          <w:ind w:start="2160" w:hanging="360"/>
        </w:pPr>
        <w:rPr/>
      </w:lvl>
    </w:lvlOverride>
    <w:lvlOverride w:ilvl="5">
      <w:startOverride w:val="1"/>
    </w:lvlOverride>
    <w:lvlOverride w:ilvl="6">
      <w:lvl w:ilvl="6">
        <w:start w:val="1"/>
        <w:numFmt w:val="decimal"/>
        <w:lvlText w:val="%7."/>
        <w:lvlJc w:val="start"/>
        <w:pPr>
          <w:tabs>
            <w:tab w:val="num" w:pos="2520"/>
          </w:tabs>
          <w:ind w:start="2520" w:hanging="360"/>
        </w:pPr>
        <w:rPr/>
      </w:lvl>
    </w:lvlOverride>
    <w:lvlOverride w:ilvl="6">
      <w:startOverride w:val="1"/>
    </w:lvlOverride>
    <w:lvlOverride w:ilvl="7">
      <w:lvl w:ilvl="7">
        <w:start w:val="1"/>
        <w:numFmt w:val="lowerLetter"/>
        <w:lvlText w:val="%8."/>
        <w:lvlJc w:val="start"/>
        <w:pPr>
          <w:tabs>
            <w:tab w:val="num" w:pos="2880"/>
          </w:tabs>
          <w:ind w:start="2880" w:hanging="360"/>
        </w:pPr>
        <w:rPr/>
      </w:lvl>
    </w:lvlOverride>
    <w:lvlOverride w:ilvl="7">
      <w:startOverride w:val="1"/>
    </w:lvlOverride>
    <w:lvlOverride w:ilvl="8">
      <w:lvl w:ilvl="8">
        <w:start w:val="1"/>
        <w:numFmt w:val="lowerRoman"/>
        <w:lvlText w:val="%9."/>
        <w:lvlJc w:val="start"/>
        <w:pPr>
          <w:tabs>
            <w:tab w:val="num" w:pos="3240"/>
          </w:tabs>
          <w:ind w:start="3240" w:hanging="360"/>
        </w:pPr>
        <w:rPr/>
      </w:lvl>
    </w:lvlOverride>
  </w:num>
  <w:num w:numId="8">
    <w:abstractNumId w:val="1"/>
    <w:lvlOverride w:ilvl="0">
      <w:startOverride w:val="1"/>
    </w:lvlOverride>
    <w:lvlOverride w:ilvl="1">
      <w:startOverride w:val="1"/>
    </w:lvlOverride>
    <w:lvlOverride w:ilvl="2">
      <w:startOverride w:val="1"/>
    </w:lvlOverride>
    <w:lvlOverride w:ilvl="3">
      <w:lvl w:ilvl="3">
        <w:start w:val="1"/>
        <w:numFmt w:val="decimal"/>
        <w:lvlText w:val="(%4)"/>
        <w:lvlJc w:val="start"/>
        <w:pPr>
          <w:tabs>
            <w:tab w:val="num" w:pos="3240"/>
          </w:tabs>
          <w:ind w:start="1440" w:firstLine="1440"/>
        </w:pPr>
        <w:rPr/>
      </w:lvl>
    </w:lvlOverride>
    <w:lvlOverride w:ilvl="3">
      <w:startOverride w:val="1"/>
    </w:lvlOverride>
    <w:lvlOverride w:ilvl="4">
      <w:lvl w:ilvl="4">
        <w:start w:val="1"/>
        <w:numFmt w:val="lowerLetter"/>
        <w:lvlText w:val="(%5)"/>
        <w:lvlJc w:val="start"/>
        <w:pPr>
          <w:tabs>
            <w:tab w:val="num" w:pos="1800"/>
          </w:tabs>
          <w:ind w:start="1800" w:hanging="360"/>
        </w:pPr>
        <w:rPr/>
      </w:lvl>
    </w:lvlOverride>
    <w:lvlOverride w:ilvl="4">
      <w:startOverride w:val="1"/>
    </w:lvlOverride>
    <w:lvlOverride w:ilvl="5">
      <w:lvl w:ilvl="5">
        <w:start w:val="1"/>
        <w:numFmt w:val="lowerRoman"/>
        <w:lvlText w:val="(%6)"/>
        <w:lvlJc w:val="start"/>
        <w:pPr>
          <w:tabs>
            <w:tab w:val="num" w:pos="2160"/>
          </w:tabs>
          <w:ind w:start="2160" w:hanging="360"/>
        </w:pPr>
        <w:rPr/>
      </w:lvl>
    </w:lvlOverride>
    <w:lvlOverride w:ilvl="5">
      <w:startOverride w:val="1"/>
    </w:lvlOverride>
    <w:lvlOverride w:ilvl="6">
      <w:lvl w:ilvl="6">
        <w:start w:val="1"/>
        <w:numFmt w:val="decimal"/>
        <w:lvlText w:val="%7."/>
        <w:lvlJc w:val="start"/>
        <w:pPr>
          <w:tabs>
            <w:tab w:val="num" w:pos="2520"/>
          </w:tabs>
          <w:ind w:start="2520" w:hanging="360"/>
        </w:pPr>
        <w:rPr/>
      </w:lvl>
    </w:lvlOverride>
    <w:lvlOverride w:ilvl="6">
      <w:startOverride w:val="1"/>
    </w:lvlOverride>
    <w:lvlOverride w:ilvl="7">
      <w:lvl w:ilvl="7">
        <w:start w:val="1"/>
        <w:numFmt w:val="lowerLetter"/>
        <w:lvlText w:val="%8."/>
        <w:lvlJc w:val="start"/>
        <w:pPr>
          <w:tabs>
            <w:tab w:val="num" w:pos="2880"/>
          </w:tabs>
          <w:ind w:start="2880" w:hanging="360"/>
        </w:pPr>
        <w:rPr/>
      </w:lvl>
    </w:lvlOverride>
    <w:lvlOverride w:ilvl="7">
      <w:startOverride w:val="1"/>
    </w:lvlOverride>
    <w:lvlOverride w:ilvl="8">
      <w:lvl w:ilvl="8">
        <w:start w:val="1"/>
        <w:numFmt w:val="lowerRoman"/>
        <w:lvlText w:val="%9."/>
        <w:lvlJc w:val="start"/>
        <w:pPr>
          <w:tabs>
            <w:tab w:val="num" w:pos="3240"/>
          </w:tabs>
          <w:ind w:start="3240" w:hanging="360"/>
        </w:pPr>
        <w:rPr/>
      </w:lvl>
    </w:lvlOverride>
  </w:num>
  <w:num w:numId="9">
    <w:abstractNumId w:val="1"/>
    <w:lvlOverride w:ilvl="0">
      <w:startOverride w:val="1"/>
    </w:lvlOverride>
    <w:lvlOverride w:ilvl="1">
      <w:startOverride w:val="1"/>
    </w:lvlOverride>
    <w:lvlOverride w:ilvl="2">
      <w:startOverride w:val="1"/>
    </w:lvlOverride>
    <w:lvlOverride w:ilvl="3">
      <w:lvl w:ilvl="3">
        <w:start w:val="1"/>
        <w:numFmt w:val="decimal"/>
        <w:lvlText w:val="(%4)"/>
        <w:lvlJc w:val="start"/>
        <w:pPr>
          <w:tabs>
            <w:tab w:val="num" w:pos="3240"/>
          </w:tabs>
          <w:ind w:start="1440" w:firstLine="1440"/>
        </w:pPr>
        <w:rPr/>
      </w:lvl>
    </w:lvlOverride>
    <w:lvlOverride w:ilvl="3">
      <w:startOverride w:val="1"/>
    </w:lvlOverride>
    <w:lvlOverride w:ilvl="4">
      <w:lvl w:ilvl="4">
        <w:start w:val="1"/>
        <w:numFmt w:val="lowerLetter"/>
        <w:lvlText w:val="(%5)"/>
        <w:lvlJc w:val="start"/>
        <w:pPr>
          <w:tabs>
            <w:tab w:val="num" w:pos="1800"/>
          </w:tabs>
          <w:ind w:start="1800" w:hanging="360"/>
        </w:pPr>
        <w:rPr/>
      </w:lvl>
    </w:lvlOverride>
    <w:lvlOverride w:ilvl="4">
      <w:startOverride w:val="1"/>
    </w:lvlOverride>
    <w:lvlOverride w:ilvl="5">
      <w:lvl w:ilvl="5">
        <w:start w:val="1"/>
        <w:numFmt w:val="lowerRoman"/>
        <w:lvlText w:val="(%6)"/>
        <w:lvlJc w:val="start"/>
        <w:pPr>
          <w:tabs>
            <w:tab w:val="num" w:pos="2160"/>
          </w:tabs>
          <w:ind w:start="2160" w:hanging="360"/>
        </w:pPr>
        <w:rPr/>
      </w:lvl>
    </w:lvlOverride>
    <w:lvlOverride w:ilvl="5">
      <w:startOverride w:val="1"/>
    </w:lvlOverride>
    <w:lvlOverride w:ilvl="6">
      <w:lvl w:ilvl="6">
        <w:start w:val="1"/>
        <w:numFmt w:val="decimal"/>
        <w:lvlText w:val="%7."/>
        <w:lvlJc w:val="start"/>
        <w:pPr>
          <w:tabs>
            <w:tab w:val="num" w:pos="2520"/>
          </w:tabs>
          <w:ind w:start="2520" w:hanging="360"/>
        </w:pPr>
        <w:rPr/>
      </w:lvl>
    </w:lvlOverride>
    <w:lvlOverride w:ilvl="6">
      <w:startOverride w:val="1"/>
    </w:lvlOverride>
    <w:lvlOverride w:ilvl="7">
      <w:lvl w:ilvl="7">
        <w:start w:val="1"/>
        <w:numFmt w:val="lowerLetter"/>
        <w:lvlText w:val="%8."/>
        <w:lvlJc w:val="start"/>
        <w:pPr>
          <w:tabs>
            <w:tab w:val="num" w:pos="2880"/>
          </w:tabs>
          <w:ind w:start="2880" w:hanging="360"/>
        </w:pPr>
        <w:rPr/>
      </w:lvl>
    </w:lvlOverride>
    <w:lvlOverride w:ilvl="7">
      <w:startOverride w:val="1"/>
    </w:lvlOverride>
    <w:lvlOverride w:ilvl="8">
      <w:lvl w:ilvl="8">
        <w:start w:val="1"/>
        <w:numFmt w:val="lowerRoman"/>
        <w:lvlText w:val="%9."/>
        <w:lvlJc w:val="start"/>
        <w:pPr>
          <w:tabs>
            <w:tab w:val="num" w:pos="3240"/>
          </w:tabs>
          <w:ind w:start="3240" w:hanging="360"/>
        </w:pPr>
        <w:rPr/>
      </w:lvl>
    </w:lvlOverride>
  </w:num>
  <w:num w:numId="10">
    <w:abstractNumId w:val="1"/>
    <w:lvlOverride w:ilvl="0">
      <w:startOverride w:val="1"/>
    </w:lvlOverride>
    <w:lvlOverride w:ilvl="1">
      <w:startOverride w:val="1"/>
    </w:lvlOverride>
    <w:lvlOverride w:ilvl="2">
      <w:startOverride w:val="1"/>
    </w:lvlOverride>
    <w:lvlOverride w:ilvl="3">
      <w:lvl w:ilvl="3">
        <w:start w:val="1"/>
        <w:numFmt w:val="decimal"/>
        <w:lvlText w:val="(%4)"/>
        <w:lvlJc w:val="start"/>
        <w:pPr>
          <w:tabs>
            <w:tab w:val="num" w:pos="3240"/>
          </w:tabs>
          <w:ind w:start="1440" w:firstLine="1440"/>
        </w:pPr>
        <w:rPr/>
      </w:lvl>
    </w:lvlOverride>
    <w:lvlOverride w:ilvl="3">
      <w:startOverride w:val="1"/>
    </w:lvlOverride>
    <w:lvlOverride w:ilvl="4">
      <w:lvl w:ilvl="4">
        <w:start w:val="1"/>
        <w:numFmt w:val="lowerLetter"/>
        <w:lvlText w:val="(%5)"/>
        <w:lvlJc w:val="start"/>
        <w:pPr>
          <w:tabs>
            <w:tab w:val="num" w:pos="1800"/>
          </w:tabs>
          <w:ind w:start="1800" w:hanging="360"/>
        </w:pPr>
        <w:rPr/>
      </w:lvl>
    </w:lvlOverride>
    <w:lvlOverride w:ilvl="4">
      <w:startOverride w:val="1"/>
    </w:lvlOverride>
    <w:lvlOverride w:ilvl="5">
      <w:lvl w:ilvl="5">
        <w:start w:val="1"/>
        <w:numFmt w:val="lowerRoman"/>
        <w:lvlText w:val="(%6)"/>
        <w:lvlJc w:val="start"/>
        <w:pPr>
          <w:tabs>
            <w:tab w:val="num" w:pos="2160"/>
          </w:tabs>
          <w:ind w:start="2160" w:hanging="360"/>
        </w:pPr>
        <w:rPr/>
      </w:lvl>
    </w:lvlOverride>
    <w:lvlOverride w:ilvl="5">
      <w:startOverride w:val="1"/>
    </w:lvlOverride>
    <w:lvlOverride w:ilvl="6">
      <w:lvl w:ilvl="6">
        <w:start w:val="1"/>
        <w:numFmt w:val="decimal"/>
        <w:lvlText w:val="%7."/>
        <w:lvlJc w:val="start"/>
        <w:pPr>
          <w:tabs>
            <w:tab w:val="num" w:pos="2520"/>
          </w:tabs>
          <w:ind w:start="2520" w:hanging="360"/>
        </w:pPr>
        <w:rPr/>
      </w:lvl>
    </w:lvlOverride>
    <w:lvlOverride w:ilvl="6">
      <w:startOverride w:val="1"/>
    </w:lvlOverride>
    <w:lvlOverride w:ilvl="7">
      <w:lvl w:ilvl="7">
        <w:start w:val="1"/>
        <w:numFmt w:val="lowerLetter"/>
        <w:lvlText w:val="%8."/>
        <w:lvlJc w:val="start"/>
        <w:pPr>
          <w:tabs>
            <w:tab w:val="num" w:pos="2880"/>
          </w:tabs>
          <w:ind w:start="2880" w:hanging="360"/>
        </w:pPr>
        <w:rPr/>
      </w:lvl>
    </w:lvlOverride>
    <w:lvlOverride w:ilvl="7">
      <w:startOverride w:val="1"/>
    </w:lvlOverride>
    <w:lvlOverride w:ilvl="8">
      <w:lvl w:ilvl="8">
        <w:start w:val="1"/>
        <w:numFmt w:val="lowerRoman"/>
        <w:lvlText w:val="%9."/>
        <w:lvlJc w:val="start"/>
        <w:pPr>
          <w:tabs>
            <w:tab w:val="num" w:pos="3240"/>
          </w:tabs>
          <w:ind w:start="3240" w:hanging="360"/>
        </w:pPr>
        <w:rPr/>
      </w:lvl>
    </w:lvlOverride>
  </w:num>
  <w:num w:numId="11">
    <w:abstractNumId w:val="1"/>
    <w:lvlOverride w:ilvl="0">
      <w:startOverride w:val="1"/>
    </w:lvlOverride>
    <w:lvlOverride w:ilvl="1">
      <w:startOverride w:val="1"/>
    </w:lvlOverride>
    <w:lvlOverride w:ilvl="2">
      <w:startOverride w:val="1"/>
    </w:lvlOverride>
    <w:lvlOverride w:ilvl="3">
      <w:lvl w:ilvl="3">
        <w:start w:val="1"/>
        <w:numFmt w:val="decimal"/>
        <w:lvlText w:val="(%4)"/>
        <w:lvlJc w:val="start"/>
        <w:pPr>
          <w:tabs>
            <w:tab w:val="num" w:pos="3240"/>
          </w:tabs>
          <w:ind w:start="1440" w:firstLine="1440"/>
        </w:pPr>
        <w:rPr/>
      </w:lvl>
    </w:lvlOverride>
    <w:lvlOverride w:ilvl="3">
      <w:startOverride w:val="1"/>
    </w:lvlOverride>
    <w:lvlOverride w:ilvl="4">
      <w:lvl w:ilvl="4">
        <w:start w:val="1"/>
        <w:numFmt w:val="lowerLetter"/>
        <w:lvlText w:val="(%5)"/>
        <w:lvlJc w:val="start"/>
        <w:pPr>
          <w:tabs>
            <w:tab w:val="num" w:pos="1800"/>
          </w:tabs>
          <w:ind w:start="1800" w:hanging="360"/>
        </w:pPr>
        <w:rPr/>
      </w:lvl>
    </w:lvlOverride>
    <w:lvlOverride w:ilvl="4">
      <w:startOverride w:val="1"/>
    </w:lvlOverride>
    <w:lvlOverride w:ilvl="5">
      <w:lvl w:ilvl="5">
        <w:start w:val="1"/>
        <w:numFmt w:val="lowerRoman"/>
        <w:lvlText w:val="(%6)"/>
        <w:lvlJc w:val="start"/>
        <w:pPr>
          <w:tabs>
            <w:tab w:val="num" w:pos="2160"/>
          </w:tabs>
          <w:ind w:start="2160" w:hanging="360"/>
        </w:pPr>
        <w:rPr/>
      </w:lvl>
    </w:lvlOverride>
    <w:lvlOverride w:ilvl="5">
      <w:startOverride w:val="1"/>
    </w:lvlOverride>
    <w:lvlOverride w:ilvl="6">
      <w:lvl w:ilvl="6">
        <w:start w:val="1"/>
        <w:numFmt w:val="decimal"/>
        <w:lvlText w:val="%7."/>
        <w:lvlJc w:val="start"/>
        <w:pPr>
          <w:tabs>
            <w:tab w:val="num" w:pos="2520"/>
          </w:tabs>
          <w:ind w:start="2520" w:hanging="360"/>
        </w:pPr>
        <w:rPr/>
      </w:lvl>
    </w:lvlOverride>
    <w:lvlOverride w:ilvl="6">
      <w:startOverride w:val="1"/>
    </w:lvlOverride>
    <w:lvlOverride w:ilvl="7">
      <w:lvl w:ilvl="7">
        <w:start w:val="1"/>
        <w:numFmt w:val="lowerLetter"/>
        <w:lvlText w:val="%8."/>
        <w:lvlJc w:val="start"/>
        <w:pPr>
          <w:tabs>
            <w:tab w:val="num" w:pos="2880"/>
          </w:tabs>
          <w:ind w:start="2880" w:hanging="360"/>
        </w:pPr>
        <w:rPr/>
      </w:lvl>
    </w:lvlOverride>
    <w:lvlOverride w:ilvl="7">
      <w:startOverride w:val="1"/>
    </w:lvlOverride>
    <w:lvlOverride w:ilvl="8">
      <w:lvl w:ilvl="8">
        <w:start w:val="1"/>
        <w:numFmt w:val="lowerRoman"/>
        <w:lvlText w:val="%9."/>
        <w:lvlJc w:val="start"/>
        <w:pPr>
          <w:tabs>
            <w:tab w:val="num" w:pos="3240"/>
          </w:tabs>
          <w:ind w:start="3240" w:hanging="360"/>
        </w:pPr>
        <w:rPr/>
      </w:lvl>
    </w:lvlOverride>
  </w:num>
  <w:num w:numId="12">
    <w:abstractNumId w:val="1"/>
    <w:lvlOverride w:ilvl="0">
      <w:startOverride w:val="1"/>
    </w:lvlOverride>
    <w:lvlOverride w:ilvl="1">
      <w:startOverride w:val="1"/>
    </w:lvlOverride>
    <w:lvlOverride w:ilvl="2">
      <w:startOverride w:val="1"/>
    </w:lvlOverride>
    <w:lvlOverride w:ilvl="3">
      <w:lvl w:ilvl="3">
        <w:start w:val="1"/>
        <w:numFmt w:val="decimal"/>
        <w:lvlText w:val="(%4)"/>
        <w:lvlJc w:val="start"/>
        <w:pPr>
          <w:tabs>
            <w:tab w:val="num" w:pos="3240"/>
          </w:tabs>
          <w:ind w:start="1440" w:firstLine="1440"/>
        </w:pPr>
        <w:rPr/>
      </w:lvl>
    </w:lvlOverride>
    <w:lvlOverride w:ilvl="3">
      <w:startOverride w:val="1"/>
    </w:lvlOverride>
    <w:lvlOverride w:ilvl="4">
      <w:lvl w:ilvl="4">
        <w:start w:val="1"/>
        <w:numFmt w:val="lowerLetter"/>
        <w:lvlText w:val="(%5)"/>
        <w:lvlJc w:val="start"/>
        <w:pPr>
          <w:tabs>
            <w:tab w:val="num" w:pos="1800"/>
          </w:tabs>
          <w:ind w:start="1800" w:hanging="360"/>
        </w:pPr>
        <w:rPr/>
      </w:lvl>
    </w:lvlOverride>
    <w:lvlOverride w:ilvl="4">
      <w:startOverride w:val="1"/>
    </w:lvlOverride>
    <w:lvlOverride w:ilvl="5">
      <w:lvl w:ilvl="5">
        <w:start w:val="1"/>
        <w:numFmt w:val="lowerRoman"/>
        <w:lvlText w:val="(%6)"/>
        <w:lvlJc w:val="start"/>
        <w:pPr>
          <w:tabs>
            <w:tab w:val="num" w:pos="2160"/>
          </w:tabs>
          <w:ind w:start="2160" w:hanging="360"/>
        </w:pPr>
        <w:rPr/>
      </w:lvl>
    </w:lvlOverride>
    <w:lvlOverride w:ilvl="5">
      <w:startOverride w:val="1"/>
    </w:lvlOverride>
    <w:lvlOverride w:ilvl="6">
      <w:lvl w:ilvl="6">
        <w:start w:val="1"/>
        <w:numFmt w:val="decimal"/>
        <w:lvlText w:val="%7."/>
        <w:lvlJc w:val="start"/>
        <w:pPr>
          <w:tabs>
            <w:tab w:val="num" w:pos="2520"/>
          </w:tabs>
          <w:ind w:start="2520" w:hanging="360"/>
        </w:pPr>
        <w:rPr/>
      </w:lvl>
    </w:lvlOverride>
    <w:lvlOverride w:ilvl="6">
      <w:startOverride w:val="1"/>
    </w:lvlOverride>
    <w:lvlOverride w:ilvl="7">
      <w:lvl w:ilvl="7">
        <w:start w:val="1"/>
        <w:numFmt w:val="lowerLetter"/>
        <w:lvlText w:val="%8."/>
        <w:lvlJc w:val="start"/>
        <w:pPr>
          <w:tabs>
            <w:tab w:val="num" w:pos="2880"/>
          </w:tabs>
          <w:ind w:start="2880" w:hanging="360"/>
        </w:pPr>
        <w:rPr/>
      </w:lvl>
    </w:lvlOverride>
    <w:lvlOverride w:ilvl="7">
      <w:startOverride w:val="1"/>
    </w:lvlOverride>
    <w:lvlOverride w:ilvl="8">
      <w:lvl w:ilvl="8">
        <w:start w:val="1"/>
        <w:numFmt w:val="lowerRoman"/>
        <w:lvlText w:val="%9."/>
        <w:lvlJc w:val="start"/>
        <w:pPr>
          <w:tabs>
            <w:tab w:val="num" w:pos="3240"/>
          </w:tabs>
          <w:ind w:start="3240" w:hanging="360"/>
        </w:pPr>
        <w:rPr/>
      </w:lvl>
    </w:lvlOverride>
  </w:num>
  <w:num w:numId="13">
    <w:abstractNumId w:val="1"/>
    <w:lvlOverride w:ilvl="0">
      <w:startOverride w:val="1"/>
    </w:lvlOverride>
    <w:lvlOverride w:ilvl="1">
      <w:startOverride w:val="1"/>
    </w:lvlOverride>
    <w:lvlOverride w:ilvl="2">
      <w:startOverride w:val="1"/>
    </w:lvlOverride>
    <w:lvlOverride w:ilvl="3">
      <w:lvl w:ilvl="3">
        <w:start w:val="1"/>
        <w:numFmt w:val="decimal"/>
        <w:lvlText w:val="(%4)"/>
        <w:lvlJc w:val="start"/>
        <w:pPr>
          <w:tabs>
            <w:tab w:val="num" w:pos="3240"/>
          </w:tabs>
          <w:ind w:start="1440" w:firstLine="1440"/>
        </w:pPr>
        <w:rPr/>
      </w:lvl>
    </w:lvlOverride>
    <w:lvlOverride w:ilvl="3">
      <w:startOverride w:val="1"/>
    </w:lvlOverride>
    <w:lvlOverride w:ilvl="4">
      <w:lvl w:ilvl="4">
        <w:start w:val="1"/>
        <w:numFmt w:val="lowerLetter"/>
        <w:lvlText w:val="(%5)"/>
        <w:lvlJc w:val="start"/>
        <w:pPr>
          <w:tabs>
            <w:tab w:val="num" w:pos="1800"/>
          </w:tabs>
          <w:ind w:start="1800" w:hanging="360"/>
        </w:pPr>
        <w:rPr/>
      </w:lvl>
    </w:lvlOverride>
    <w:lvlOverride w:ilvl="4">
      <w:startOverride w:val="1"/>
    </w:lvlOverride>
    <w:lvlOverride w:ilvl="5">
      <w:lvl w:ilvl="5">
        <w:start w:val="1"/>
        <w:numFmt w:val="lowerRoman"/>
        <w:lvlText w:val="(%6)"/>
        <w:lvlJc w:val="start"/>
        <w:pPr>
          <w:tabs>
            <w:tab w:val="num" w:pos="2160"/>
          </w:tabs>
          <w:ind w:start="2160" w:hanging="360"/>
        </w:pPr>
        <w:rPr/>
      </w:lvl>
    </w:lvlOverride>
    <w:lvlOverride w:ilvl="5">
      <w:startOverride w:val="1"/>
    </w:lvlOverride>
    <w:lvlOverride w:ilvl="6">
      <w:lvl w:ilvl="6">
        <w:start w:val="1"/>
        <w:numFmt w:val="decimal"/>
        <w:lvlText w:val="%7."/>
        <w:lvlJc w:val="start"/>
        <w:pPr>
          <w:tabs>
            <w:tab w:val="num" w:pos="2520"/>
          </w:tabs>
          <w:ind w:start="2520" w:hanging="360"/>
        </w:pPr>
        <w:rPr/>
      </w:lvl>
    </w:lvlOverride>
    <w:lvlOverride w:ilvl="6">
      <w:startOverride w:val="1"/>
    </w:lvlOverride>
    <w:lvlOverride w:ilvl="7">
      <w:lvl w:ilvl="7">
        <w:start w:val="1"/>
        <w:numFmt w:val="lowerLetter"/>
        <w:lvlText w:val="%8."/>
        <w:lvlJc w:val="start"/>
        <w:pPr>
          <w:tabs>
            <w:tab w:val="num" w:pos="2880"/>
          </w:tabs>
          <w:ind w:start="2880" w:hanging="360"/>
        </w:pPr>
        <w:rPr/>
      </w:lvl>
    </w:lvlOverride>
    <w:lvlOverride w:ilvl="7">
      <w:startOverride w:val="1"/>
    </w:lvlOverride>
    <w:lvlOverride w:ilvl="8">
      <w:lvl w:ilvl="8">
        <w:start w:val="1"/>
        <w:numFmt w:val="lowerRoman"/>
        <w:lvlText w:val="%9."/>
        <w:lvlJc w:val="start"/>
        <w:pPr>
          <w:tabs>
            <w:tab w:val="num" w:pos="3240"/>
          </w:tabs>
          <w:ind w:start="3240" w:hanging="360"/>
        </w:pPr>
        <w:rPr/>
      </w:lvl>
    </w:lvlOverride>
  </w:num>
  <w:num w:numId="14">
    <w:abstractNumId w:val="1"/>
    <w:lvlOverride w:ilvl="0">
      <w:startOverride w:val="1"/>
    </w:lvlOverride>
    <w:lvlOverride w:ilvl="1">
      <w:startOverride w:val="1"/>
    </w:lvlOverride>
    <w:lvlOverride w:ilvl="2">
      <w:startOverride w:val="1"/>
    </w:lvlOverride>
    <w:lvlOverride w:ilvl="3">
      <w:lvl w:ilvl="3">
        <w:start w:val="1"/>
        <w:numFmt w:val="decimal"/>
        <w:lvlText w:val="(%4)"/>
        <w:lvlJc w:val="start"/>
        <w:pPr>
          <w:tabs>
            <w:tab w:val="num" w:pos="3240"/>
          </w:tabs>
          <w:ind w:start="1440" w:firstLine="1440"/>
        </w:pPr>
        <w:rPr/>
      </w:lvl>
    </w:lvlOverride>
    <w:lvlOverride w:ilvl="3">
      <w:startOverride w:val="1"/>
    </w:lvlOverride>
    <w:lvlOverride w:ilvl="4">
      <w:lvl w:ilvl="4">
        <w:start w:val="1"/>
        <w:numFmt w:val="lowerLetter"/>
        <w:lvlText w:val="(%5)"/>
        <w:lvlJc w:val="start"/>
        <w:pPr>
          <w:tabs>
            <w:tab w:val="num" w:pos="1800"/>
          </w:tabs>
          <w:ind w:start="1800" w:hanging="360"/>
        </w:pPr>
        <w:rPr/>
      </w:lvl>
    </w:lvlOverride>
    <w:lvlOverride w:ilvl="4">
      <w:startOverride w:val="1"/>
    </w:lvlOverride>
    <w:lvlOverride w:ilvl="5">
      <w:lvl w:ilvl="5">
        <w:start w:val="1"/>
        <w:numFmt w:val="lowerRoman"/>
        <w:lvlText w:val="(%6)"/>
        <w:lvlJc w:val="start"/>
        <w:pPr>
          <w:tabs>
            <w:tab w:val="num" w:pos="2160"/>
          </w:tabs>
          <w:ind w:start="2160" w:hanging="360"/>
        </w:pPr>
        <w:rPr/>
      </w:lvl>
    </w:lvlOverride>
    <w:lvlOverride w:ilvl="5">
      <w:startOverride w:val="1"/>
    </w:lvlOverride>
    <w:lvlOverride w:ilvl="6">
      <w:lvl w:ilvl="6">
        <w:start w:val="1"/>
        <w:numFmt w:val="decimal"/>
        <w:lvlText w:val="%7."/>
        <w:lvlJc w:val="start"/>
        <w:pPr>
          <w:tabs>
            <w:tab w:val="num" w:pos="2520"/>
          </w:tabs>
          <w:ind w:start="2520" w:hanging="360"/>
        </w:pPr>
        <w:rPr/>
      </w:lvl>
    </w:lvlOverride>
    <w:lvlOverride w:ilvl="6">
      <w:startOverride w:val="1"/>
    </w:lvlOverride>
    <w:lvlOverride w:ilvl="7">
      <w:lvl w:ilvl="7">
        <w:start w:val="1"/>
        <w:numFmt w:val="lowerLetter"/>
        <w:lvlText w:val="%8."/>
        <w:lvlJc w:val="start"/>
        <w:pPr>
          <w:tabs>
            <w:tab w:val="num" w:pos="2880"/>
          </w:tabs>
          <w:ind w:start="2880" w:hanging="360"/>
        </w:pPr>
        <w:rPr/>
      </w:lvl>
    </w:lvlOverride>
    <w:lvlOverride w:ilvl="7">
      <w:startOverride w:val="1"/>
    </w:lvlOverride>
    <w:lvlOverride w:ilvl="8">
      <w:lvl w:ilvl="8">
        <w:start w:val="1"/>
        <w:numFmt w:val="lowerRoman"/>
        <w:lvlText w:val="%9."/>
        <w:lvlJc w:val="start"/>
        <w:pPr>
          <w:tabs>
            <w:tab w:val="num" w:pos="3240"/>
          </w:tabs>
          <w:ind w:start="3240" w:hanging="360"/>
        </w:pPr>
        <w:rPr/>
      </w:lvl>
    </w:lvlOverride>
  </w:num>
  <w:num w:numId="15">
    <w:abstractNumId w:val="1"/>
    <w:lvlOverride w:ilvl="0">
      <w:startOverride w:val="1"/>
    </w:lvlOverride>
    <w:lvlOverride w:ilvl="1">
      <w:startOverride w:val="1"/>
    </w:lvlOverride>
    <w:lvlOverride w:ilvl="2">
      <w:startOverride w:val="1"/>
    </w:lvlOverride>
    <w:lvlOverride w:ilvl="3">
      <w:lvl w:ilvl="3">
        <w:start w:val="1"/>
        <w:numFmt w:val="decimal"/>
        <w:lvlText w:val="(%4)"/>
        <w:lvlJc w:val="start"/>
        <w:pPr>
          <w:tabs>
            <w:tab w:val="num" w:pos="3240"/>
          </w:tabs>
          <w:ind w:start="1440" w:firstLine="1440"/>
        </w:pPr>
        <w:rPr/>
      </w:lvl>
    </w:lvlOverride>
    <w:lvlOverride w:ilvl="3">
      <w:startOverride w:val="1"/>
    </w:lvlOverride>
    <w:lvlOverride w:ilvl="4">
      <w:lvl w:ilvl="4">
        <w:start w:val="1"/>
        <w:numFmt w:val="lowerLetter"/>
        <w:lvlText w:val="(%5)"/>
        <w:lvlJc w:val="start"/>
        <w:pPr>
          <w:tabs>
            <w:tab w:val="num" w:pos="1800"/>
          </w:tabs>
          <w:ind w:start="1800" w:hanging="360"/>
        </w:pPr>
        <w:rPr/>
      </w:lvl>
    </w:lvlOverride>
    <w:lvlOverride w:ilvl="4">
      <w:startOverride w:val="1"/>
    </w:lvlOverride>
    <w:lvlOverride w:ilvl="5">
      <w:lvl w:ilvl="5">
        <w:start w:val="1"/>
        <w:numFmt w:val="lowerRoman"/>
        <w:lvlText w:val="(%6)"/>
        <w:lvlJc w:val="start"/>
        <w:pPr>
          <w:tabs>
            <w:tab w:val="num" w:pos="2160"/>
          </w:tabs>
          <w:ind w:start="2160" w:hanging="360"/>
        </w:pPr>
        <w:rPr/>
      </w:lvl>
    </w:lvlOverride>
    <w:lvlOverride w:ilvl="5">
      <w:startOverride w:val="1"/>
    </w:lvlOverride>
    <w:lvlOverride w:ilvl="6">
      <w:lvl w:ilvl="6">
        <w:start w:val="1"/>
        <w:numFmt w:val="decimal"/>
        <w:lvlText w:val="%7."/>
        <w:lvlJc w:val="start"/>
        <w:pPr>
          <w:tabs>
            <w:tab w:val="num" w:pos="2520"/>
          </w:tabs>
          <w:ind w:start="2520" w:hanging="360"/>
        </w:pPr>
        <w:rPr/>
      </w:lvl>
    </w:lvlOverride>
    <w:lvlOverride w:ilvl="6">
      <w:startOverride w:val="1"/>
    </w:lvlOverride>
    <w:lvlOverride w:ilvl="7">
      <w:lvl w:ilvl="7">
        <w:start w:val="1"/>
        <w:numFmt w:val="lowerLetter"/>
        <w:lvlText w:val="%8."/>
        <w:lvlJc w:val="start"/>
        <w:pPr>
          <w:tabs>
            <w:tab w:val="num" w:pos="2880"/>
          </w:tabs>
          <w:ind w:start="2880" w:hanging="360"/>
        </w:pPr>
        <w:rPr/>
      </w:lvl>
    </w:lvlOverride>
    <w:lvlOverride w:ilvl="7">
      <w:startOverride w:val="1"/>
    </w:lvlOverride>
    <w:lvlOverride w:ilvl="8">
      <w:lvl w:ilvl="8">
        <w:start w:val="1"/>
        <w:numFmt w:val="lowerRoman"/>
        <w:lvlText w:val="%9."/>
        <w:lvlJc w:val="start"/>
        <w:pPr>
          <w:tabs>
            <w:tab w:val="num" w:pos="3240"/>
          </w:tabs>
          <w:ind w:start="3240" w:hanging="360"/>
        </w:pPr>
        <w:rPr/>
      </w:lvl>
    </w:lvlOverride>
  </w:num>
  <w:num w:numId="16">
    <w:abstractNumId w:val="1"/>
    <w:lvlOverride w:ilvl="0">
      <w:startOverride w:val="1"/>
    </w:lvlOverride>
    <w:lvlOverride w:ilvl="1">
      <w:startOverride w:val="1"/>
    </w:lvlOverride>
    <w:lvlOverride w:ilvl="2">
      <w:startOverride w:val="1"/>
    </w:lvlOverride>
    <w:lvlOverride w:ilvl="3">
      <w:lvl w:ilvl="3">
        <w:start w:val="1"/>
        <w:numFmt w:val="decimal"/>
        <w:lvlText w:val="(%4)"/>
        <w:lvlJc w:val="start"/>
        <w:pPr>
          <w:tabs>
            <w:tab w:val="num" w:pos="3240"/>
          </w:tabs>
          <w:ind w:start="1440" w:firstLine="1440"/>
        </w:pPr>
        <w:rPr/>
      </w:lvl>
    </w:lvlOverride>
    <w:lvlOverride w:ilvl="3">
      <w:startOverride w:val="1"/>
    </w:lvlOverride>
    <w:lvlOverride w:ilvl="4">
      <w:lvl w:ilvl="4">
        <w:start w:val="1"/>
        <w:numFmt w:val="lowerLetter"/>
        <w:lvlText w:val="(%5)"/>
        <w:lvlJc w:val="start"/>
        <w:pPr>
          <w:tabs>
            <w:tab w:val="num" w:pos="1800"/>
          </w:tabs>
          <w:ind w:start="1800" w:hanging="360"/>
        </w:pPr>
        <w:rPr/>
      </w:lvl>
    </w:lvlOverride>
    <w:lvlOverride w:ilvl="4">
      <w:startOverride w:val="1"/>
    </w:lvlOverride>
    <w:lvlOverride w:ilvl="5">
      <w:lvl w:ilvl="5">
        <w:start w:val="1"/>
        <w:numFmt w:val="lowerRoman"/>
        <w:lvlText w:val="(%6)"/>
        <w:lvlJc w:val="start"/>
        <w:pPr>
          <w:tabs>
            <w:tab w:val="num" w:pos="2160"/>
          </w:tabs>
          <w:ind w:start="2160" w:hanging="360"/>
        </w:pPr>
        <w:rPr/>
      </w:lvl>
    </w:lvlOverride>
    <w:lvlOverride w:ilvl="5">
      <w:startOverride w:val="1"/>
    </w:lvlOverride>
    <w:lvlOverride w:ilvl="6">
      <w:lvl w:ilvl="6">
        <w:start w:val="1"/>
        <w:numFmt w:val="decimal"/>
        <w:lvlText w:val="%7."/>
        <w:lvlJc w:val="start"/>
        <w:pPr>
          <w:tabs>
            <w:tab w:val="num" w:pos="2520"/>
          </w:tabs>
          <w:ind w:start="2520" w:hanging="360"/>
        </w:pPr>
        <w:rPr/>
      </w:lvl>
    </w:lvlOverride>
    <w:lvlOverride w:ilvl="6">
      <w:startOverride w:val="1"/>
    </w:lvlOverride>
    <w:lvlOverride w:ilvl="7">
      <w:lvl w:ilvl="7">
        <w:start w:val="1"/>
        <w:numFmt w:val="lowerLetter"/>
        <w:lvlText w:val="%8."/>
        <w:lvlJc w:val="start"/>
        <w:pPr>
          <w:tabs>
            <w:tab w:val="num" w:pos="2880"/>
          </w:tabs>
          <w:ind w:start="2880" w:hanging="360"/>
        </w:pPr>
        <w:rPr/>
      </w:lvl>
    </w:lvlOverride>
    <w:lvlOverride w:ilvl="7">
      <w:startOverride w:val="1"/>
    </w:lvlOverride>
    <w:lvlOverride w:ilvl="8">
      <w:lvl w:ilvl="8">
        <w:start w:val="1"/>
        <w:numFmt w:val="lowerRoman"/>
        <w:lvlText w:val="%9."/>
        <w:lvlJc w:val="start"/>
        <w:pPr>
          <w:tabs>
            <w:tab w:val="num" w:pos="3240"/>
          </w:tabs>
          <w:ind w:start="3240" w:hanging="360"/>
        </w:pPr>
        <w:rPr/>
      </w:lvl>
    </w:lvlOverride>
  </w:num>
  <w:num w:numId="17">
    <w:abstractNumId w:val="1"/>
    <w:lvlOverride w:ilvl="0">
      <w:startOverride w:val="1"/>
    </w:lvlOverride>
    <w:lvlOverride w:ilvl="1">
      <w:startOverride w:val="1"/>
    </w:lvlOverride>
    <w:lvlOverride w:ilvl="2">
      <w:startOverride w:val="1"/>
    </w:lvlOverride>
    <w:lvlOverride w:ilvl="3">
      <w:lvl w:ilvl="3">
        <w:start w:val="1"/>
        <w:numFmt w:val="decimal"/>
        <w:lvlText w:val="(%4)"/>
        <w:lvlJc w:val="start"/>
        <w:pPr>
          <w:tabs>
            <w:tab w:val="num" w:pos="3240"/>
          </w:tabs>
          <w:ind w:start="1440" w:firstLine="1440"/>
        </w:pPr>
        <w:rPr/>
      </w:lvl>
    </w:lvlOverride>
    <w:lvlOverride w:ilvl="3">
      <w:startOverride w:val="1"/>
    </w:lvlOverride>
    <w:lvlOverride w:ilvl="4">
      <w:lvl w:ilvl="4">
        <w:start w:val="1"/>
        <w:numFmt w:val="lowerLetter"/>
        <w:lvlText w:val="(%5)"/>
        <w:lvlJc w:val="start"/>
        <w:pPr>
          <w:tabs>
            <w:tab w:val="num" w:pos="1800"/>
          </w:tabs>
          <w:ind w:start="1800" w:hanging="360"/>
        </w:pPr>
        <w:rPr/>
      </w:lvl>
    </w:lvlOverride>
    <w:lvlOverride w:ilvl="4">
      <w:startOverride w:val="1"/>
    </w:lvlOverride>
    <w:lvlOverride w:ilvl="5">
      <w:lvl w:ilvl="5">
        <w:start w:val="1"/>
        <w:numFmt w:val="lowerRoman"/>
        <w:lvlText w:val="(%6)"/>
        <w:lvlJc w:val="start"/>
        <w:pPr>
          <w:tabs>
            <w:tab w:val="num" w:pos="2160"/>
          </w:tabs>
          <w:ind w:start="2160" w:hanging="360"/>
        </w:pPr>
        <w:rPr/>
      </w:lvl>
    </w:lvlOverride>
    <w:lvlOverride w:ilvl="5">
      <w:startOverride w:val="1"/>
    </w:lvlOverride>
    <w:lvlOverride w:ilvl="6">
      <w:lvl w:ilvl="6">
        <w:start w:val="1"/>
        <w:numFmt w:val="decimal"/>
        <w:lvlText w:val="%7."/>
        <w:lvlJc w:val="start"/>
        <w:pPr>
          <w:tabs>
            <w:tab w:val="num" w:pos="2520"/>
          </w:tabs>
          <w:ind w:start="2520" w:hanging="360"/>
        </w:pPr>
        <w:rPr/>
      </w:lvl>
    </w:lvlOverride>
    <w:lvlOverride w:ilvl="6">
      <w:startOverride w:val="1"/>
    </w:lvlOverride>
    <w:lvlOverride w:ilvl="7">
      <w:lvl w:ilvl="7">
        <w:start w:val="1"/>
        <w:numFmt w:val="lowerLetter"/>
        <w:lvlText w:val="%8."/>
        <w:lvlJc w:val="start"/>
        <w:pPr>
          <w:tabs>
            <w:tab w:val="num" w:pos="2880"/>
          </w:tabs>
          <w:ind w:start="2880" w:hanging="360"/>
        </w:pPr>
        <w:rPr/>
      </w:lvl>
    </w:lvlOverride>
    <w:lvlOverride w:ilvl="7">
      <w:startOverride w:val="1"/>
    </w:lvlOverride>
    <w:lvlOverride w:ilvl="8">
      <w:lvl w:ilvl="8">
        <w:start w:val="1"/>
        <w:numFmt w:val="lowerRoman"/>
        <w:lvlText w:val="%9."/>
        <w:lvlJc w:val="start"/>
        <w:pPr>
          <w:tabs>
            <w:tab w:val="num" w:pos="3240"/>
          </w:tabs>
          <w:ind w:start="3240" w:hanging="360"/>
        </w:pPr>
        <w:rPr/>
      </w:lvl>
    </w:lvlOverride>
  </w:num>
  <w:num w:numId="18">
    <w:abstractNumId w:val="1"/>
    <w:lvlOverride w:ilvl="0">
      <w:startOverride w:val="1"/>
    </w:lvlOverride>
    <w:lvlOverride w:ilvl="1">
      <w:startOverride w:val="1"/>
    </w:lvlOverride>
    <w:lvlOverride w:ilvl="2">
      <w:startOverride w:val="1"/>
    </w:lvlOverride>
    <w:lvlOverride w:ilvl="3">
      <w:lvl w:ilvl="3">
        <w:start w:val="1"/>
        <w:numFmt w:val="decimal"/>
        <w:lvlText w:val="(%4)"/>
        <w:lvlJc w:val="start"/>
        <w:pPr>
          <w:tabs>
            <w:tab w:val="num" w:pos="3240"/>
          </w:tabs>
          <w:ind w:start="1440" w:firstLine="1440"/>
        </w:pPr>
        <w:rPr/>
      </w:lvl>
    </w:lvlOverride>
    <w:lvlOverride w:ilvl="3">
      <w:startOverride w:val="1"/>
    </w:lvlOverride>
    <w:lvlOverride w:ilvl="4">
      <w:lvl w:ilvl="4">
        <w:start w:val="1"/>
        <w:numFmt w:val="lowerLetter"/>
        <w:lvlText w:val="(%5)"/>
        <w:lvlJc w:val="start"/>
        <w:pPr>
          <w:tabs>
            <w:tab w:val="num" w:pos="1800"/>
          </w:tabs>
          <w:ind w:start="1800" w:hanging="360"/>
        </w:pPr>
        <w:rPr/>
      </w:lvl>
    </w:lvlOverride>
    <w:lvlOverride w:ilvl="4">
      <w:startOverride w:val="1"/>
    </w:lvlOverride>
    <w:lvlOverride w:ilvl="5">
      <w:lvl w:ilvl="5">
        <w:start w:val="1"/>
        <w:numFmt w:val="lowerRoman"/>
        <w:lvlText w:val="(%6)"/>
        <w:lvlJc w:val="start"/>
        <w:pPr>
          <w:tabs>
            <w:tab w:val="num" w:pos="2160"/>
          </w:tabs>
          <w:ind w:start="2160" w:hanging="360"/>
        </w:pPr>
        <w:rPr/>
      </w:lvl>
    </w:lvlOverride>
    <w:lvlOverride w:ilvl="5">
      <w:startOverride w:val="1"/>
    </w:lvlOverride>
    <w:lvlOverride w:ilvl="6">
      <w:lvl w:ilvl="6">
        <w:start w:val="1"/>
        <w:numFmt w:val="decimal"/>
        <w:lvlText w:val="%7."/>
        <w:lvlJc w:val="start"/>
        <w:pPr>
          <w:tabs>
            <w:tab w:val="num" w:pos="2520"/>
          </w:tabs>
          <w:ind w:start="2520" w:hanging="360"/>
        </w:pPr>
        <w:rPr/>
      </w:lvl>
    </w:lvlOverride>
    <w:lvlOverride w:ilvl="6">
      <w:startOverride w:val="1"/>
    </w:lvlOverride>
    <w:lvlOverride w:ilvl="7">
      <w:lvl w:ilvl="7">
        <w:start w:val="1"/>
        <w:numFmt w:val="lowerLetter"/>
        <w:lvlText w:val="%8."/>
        <w:lvlJc w:val="start"/>
        <w:pPr>
          <w:tabs>
            <w:tab w:val="num" w:pos="2880"/>
          </w:tabs>
          <w:ind w:start="2880" w:hanging="360"/>
        </w:pPr>
        <w:rPr/>
      </w:lvl>
    </w:lvlOverride>
    <w:lvlOverride w:ilvl="7">
      <w:startOverride w:val="1"/>
    </w:lvlOverride>
    <w:lvlOverride w:ilvl="8">
      <w:lvl w:ilvl="8">
        <w:start w:val="1"/>
        <w:numFmt w:val="lowerRoman"/>
        <w:lvlText w:val="%9."/>
        <w:lvlJc w:val="start"/>
        <w:pPr>
          <w:tabs>
            <w:tab w:val="num" w:pos="3240"/>
          </w:tabs>
          <w:ind w:start="3240" w:hanging="360"/>
        </w:pPr>
        <w:rPr/>
      </w:lvl>
    </w:lvlOverride>
  </w:num>
  <w:num w:numId="19">
    <w:abstractNumId w:val="1"/>
    <w:lvlOverride w:ilvl="0">
      <w:startOverride w:val="1"/>
    </w:lvlOverride>
    <w:lvlOverride w:ilvl="1">
      <w:startOverride w:val="1"/>
    </w:lvlOverride>
    <w:lvlOverride w:ilvl="2">
      <w:startOverride w:val="1"/>
    </w:lvlOverride>
    <w:lvlOverride w:ilvl="3">
      <w:lvl w:ilvl="3">
        <w:start w:val="1"/>
        <w:numFmt w:val="decimal"/>
        <w:lvlText w:val="(%4)"/>
        <w:lvlJc w:val="start"/>
        <w:pPr>
          <w:tabs>
            <w:tab w:val="num" w:pos="3240"/>
          </w:tabs>
          <w:ind w:start="1440" w:firstLine="1440"/>
        </w:pPr>
        <w:rPr/>
      </w:lvl>
    </w:lvlOverride>
    <w:lvlOverride w:ilvl="3">
      <w:startOverride w:val="1"/>
    </w:lvlOverride>
    <w:lvlOverride w:ilvl="4">
      <w:lvl w:ilvl="4">
        <w:start w:val="1"/>
        <w:numFmt w:val="lowerLetter"/>
        <w:lvlText w:val="(%5)"/>
        <w:lvlJc w:val="start"/>
        <w:pPr>
          <w:tabs>
            <w:tab w:val="num" w:pos="1800"/>
          </w:tabs>
          <w:ind w:start="1800" w:hanging="360"/>
        </w:pPr>
        <w:rPr/>
      </w:lvl>
    </w:lvlOverride>
    <w:lvlOverride w:ilvl="4">
      <w:startOverride w:val="1"/>
    </w:lvlOverride>
    <w:lvlOverride w:ilvl="5">
      <w:lvl w:ilvl="5">
        <w:start w:val="1"/>
        <w:numFmt w:val="lowerRoman"/>
        <w:lvlText w:val="(%6)"/>
        <w:lvlJc w:val="start"/>
        <w:pPr>
          <w:tabs>
            <w:tab w:val="num" w:pos="2160"/>
          </w:tabs>
          <w:ind w:start="2160" w:hanging="360"/>
        </w:pPr>
        <w:rPr/>
      </w:lvl>
    </w:lvlOverride>
    <w:lvlOverride w:ilvl="5">
      <w:startOverride w:val="1"/>
    </w:lvlOverride>
    <w:lvlOverride w:ilvl="6">
      <w:lvl w:ilvl="6">
        <w:start w:val="1"/>
        <w:numFmt w:val="decimal"/>
        <w:lvlText w:val="%7."/>
        <w:lvlJc w:val="start"/>
        <w:pPr>
          <w:tabs>
            <w:tab w:val="num" w:pos="2520"/>
          </w:tabs>
          <w:ind w:start="2520" w:hanging="360"/>
        </w:pPr>
        <w:rPr/>
      </w:lvl>
    </w:lvlOverride>
    <w:lvlOverride w:ilvl="6">
      <w:startOverride w:val="1"/>
    </w:lvlOverride>
    <w:lvlOverride w:ilvl="7">
      <w:lvl w:ilvl="7">
        <w:start w:val="1"/>
        <w:numFmt w:val="lowerLetter"/>
        <w:lvlText w:val="%8."/>
        <w:lvlJc w:val="start"/>
        <w:pPr>
          <w:tabs>
            <w:tab w:val="num" w:pos="2880"/>
          </w:tabs>
          <w:ind w:start="2880" w:hanging="360"/>
        </w:pPr>
        <w:rPr/>
      </w:lvl>
    </w:lvlOverride>
    <w:lvlOverride w:ilvl="7">
      <w:startOverride w:val="1"/>
    </w:lvlOverride>
    <w:lvlOverride w:ilvl="8">
      <w:lvl w:ilvl="8">
        <w:start w:val="1"/>
        <w:numFmt w:val="lowerRoman"/>
        <w:lvlText w:val="%9."/>
        <w:lvlJc w:val="start"/>
        <w:pPr>
          <w:tabs>
            <w:tab w:val="num" w:pos="3240"/>
          </w:tabs>
          <w:ind w:start="3240" w:hanging="360"/>
        </w:pPr>
        <w:rPr/>
      </w:lvl>
    </w:lvlOverride>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Symbol" w:cs="Tahoma"/>
      <w:color w:val="auto"/>
      <w:kern w:val="2"/>
      <w:sz w:val="24"/>
      <w:szCs w:val="24"/>
      <w:lang w:val="en-US" w:eastAsia="zh-CN" w:bidi="hi-IN"/>
    </w:rPr>
  </w:style>
  <w:style w:type="paragraph" w:styleId="Heading1">
    <w:name w:val="heading 1"/>
    <w:basedOn w:val="Normal"/>
    <w:qFormat/>
    <w:pPr>
      <w:keepNext w:val="true"/>
      <w:widowControl/>
      <w:numPr>
        <w:ilvl w:val="0"/>
        <w:numId w:val="1"/>
      </w:numPr>
      <w:spacing w:before="0" w:after="240"/>
      <w:ind w:firstLine="720"/>
      <w:outlineLvl w:val="0"/>
    </w:pPr>
    <w:rPr>
      <w:kern w:val="2"/>
      <w:u w:val="single"/>
    </w:rPr>
  </w:style>
  <w:style w:type="paragraph" w:styleId="Heading2">
    <w:name w:val="heading 2"/>
    <w:basedOn w:val="Normal"/>
    <w:qFormat/>
    <w:pPr>
      <w:widowControl/>
      <w:numPr>
        <w:ilvl w:val="1"/>
        <w:numId w:val="1"/>
      </w:numPr>
      <w:tabs>
        <w:tab w:val="clear" w:pos="720"/>
        <w:tab w:val="left" w:pos="1800" w:leader="none"/>
      </w:tabs>
      <w:spacing w:before="0" w:after="240"/>
      <w:ind w:firstLine="1440"/>
      <w:outlineLvl w:val="1"/>
    </w:pPr>
    <w:rPr/>
  </w:style>
  <w:style w:type="paragraph" w:styleId="Heading3">
    <w:name w:val="heading 3"/>
    <w:basedOn w:val="Normal"/>
    <w:qFormat/>
    <w:pPr>
      <w:widowControl/>
      <w:numPr>
        <w:ilvl w:val="2"/>
        <w:numId w:val="1"/>
      </w:numPr>
      <w:tabs>
        <w:tab w:val="clear" w:pos="720"/>
        <w:tab w:val="left" w:pos="2880" w:leader="none"/>
      </w:tabs>
      <w:spacing w:before="0" w:after="240"/>
      <w:ind w:firstLine="1440" w:start="720"/>
      <w:outlineLvl w:val="2"/>
    </w:pPr>
    <w:rPr/>
  </w:style>
  <w:style w:type="paragraph" w:styleId="Heading4">
    <w:name w:val="heading 4"/>
    <w:basedOn w:val="Normal"/>
    <w:qFormat/>
    <w:pPr>
      <w:widowControl/>
      <w:spacing w:before="0" w:after="240"/>
      <w:jc w:val="both"/>
    </w:pPr>
    <w:rPr/>
  </w:style>
  <w:style w:type="paragraph" w:styleId="Heading5">
    <w:name w:val="heading 5"/>
    <w:basedOn w:val="Normal"/>
    <w:qFormat/>
    <w:pPr>
      <w:widowControl/>
      <w:spacing w:before="0" w:after="240"/>
      <w:jc w:val="both"/>
    </w:pPr>
    <w:rPr/>
  </w:style>
  <w:style w:type="paragraph" w:styleId="Heading6">
    <w:name w:val="heading 6"/>
    <w:basedOn w:val="Normal"/>
    <w:qFormat/>
    <w:pPr>
      <w:widowControl/>
      <w:spacing w:before="0" w:after="220"/>
    </w:pPr>
    <w:rPr>
      <w:i/>
      <w:sz w:val="22"/>
    </w:rPr>
  </w:style>
  <w:style w:type="paragraph" w:styleId="Heading7">
    <w:name w:val="heading 7"/>
    <w:basedOn w:val="Normal"/>
    <w:qFormat/>
    <w:pPr>
      <w:widowControl/>
      <w:spacing w:before="0" w:after="200"/>
    </w:pPr>
    <w:rPr>
      <w:sz w:val="20"/>
    </w:rPr>
  </w:style>
  <w:style w:type="paragraph" w:styleId="Heading8">
    <w:name w:val="heading 8"/>
    <w:basedOn w:val="Normal"/>
    <w:next w:val="Normal"/>
    <w:qFormat/>
    <w:pPr>
      <w:keepNext w:val="true"/>
      <w:widowControl/>
      <w:jc w:val="center"/>
    </w:pPr>
    <w:rPr>
      <w:b/>
    </w:rPr>
  </w:style>
  <w:style w:type="paragraph" w:styleId="Heading9">
    <w:name w:val="heading 9"/>
    <w:basedOn w:val="Normal"/>
    <w:next w:val="Normal"/>
    <w:qFormat/>
    <w:pPr>
      <w:keepNext w:val="true"/>
      <w:widowControl/>
      <w:ind w:hanging="0" w:start="4320"/>
      <w:jc w:val="both"/>
    </w:pPr>
    <w:rPr>
      <w:b/>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annotation reference"/>
    <w:basedOn w:val="DefaultParagraphFont"/>
    <w:qFormat/>
    <w:rPr>
      <w:sz w:val="16"/>
    </w:rPr>
  </w:style>
  <w:style w:type="character" w:styleId="DeltaViewInsertion">
    <w:name w:val="DeltaView Insertion"/>
    <w:qFormat/>
    <w:rPr>
      <w:b/>
      <w:color w:val="0000FF"/>
      <w:u w:val="double"/>
    </w:rPr>
  </w:style>
  <w:style w:type="character" w:styleId="DeltaViewDeletion">
    <w:name w:val="DeltaView Deletion"/>
    <w:qFormat/>
    <w:rPr>
      <w:strike/>
      <w:color w:val="FF0000"/>
    </w:rPr>
  </w:style>
  <w:style w:type="character" w:styleId="DeltaViewMoveSource">
    <w:name w:val="DeltaView Move Source"/>
    <w:qFormat/>
    <w:rPr>
      <w:strike/>
      <w:color w:val="FF0000"/>
    </w:rPr>
  </w:style>
  <w:style w:type="character" w:styleId="DeltaViewMoveDestination">
    <w:name w:val="DeltaView Move Destination"/>
    <w:qFormat/>
    <w:rPr>
      <w:color w:val="0000FF"/>
      <w:u w:val="double"/>
    </w:rPr>
  </w:style>
  <w:style w:type="character" w:styleId="DeltaViewChangeNumber">
    <w:name w:val="DeltaView Change Number"/>
    <w:qFormat/>
    <w:rPr>
      <w:color w:val="000000"/>
      <w:vertAlign w:val="superscript"/>
    </w:rPr>
  </w:style>
  <w:style w:type="character" w:styleId="DeltaViewDelimiter">
    <w:name w:val="DeltaView Delimiter"/>
    <w:qFormat/>
    <w:rPr/>
  </w:style>
  <w:style w:type="character" w:styleId="DeltaViewFormatChange">
    <w:name w:val="DeltaView Format Change"/>
    <w:qFormat/>
    <w:rPr>
      <w:color w:val="00000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0" w:after="240"/>
      <w:ind w:firstLine="7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widowControl/>
      <w:ind w:hanging="0" w:start="720"/>
    </w:pPr>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pPr>
    <w:rPr/>
  </w:style>
  <w:style w:type="paragraph" w:styleId="Footer">
    <w:name w:val="footer"/>
    <w:basedOn w:val="Normal"/>
    <w:pPr>
      <w:widowControl/>
      <w:tabs>
        <w:tab w:val="clear" w:pos="720"/>
        <w:tab w:val="center" w:pos="4320" w:leader="none"/>
        <w:tab w:val="right" w:pos="8640" w:leader="none"/>
      </w:tabs>
    </w:pPr>
    <w:rPr/>
  </w:style>
  <w:style w:type="paragraph" w:styleId="BodyText2">
    <w:name w:val="Body Text 2"/>
    <w:basedOn w:val="Normal"/>
    <w:qFormat/>
    <w:pPr>
      <w:widowControl/>
      <w:spacing w:before="0" w:after="240"/>
      <w:ind w:hanging="0" w:start="2160"/>
    </w:pPr>
    <w:rPr/>
  </w:style>
  <w:style w:type="paragraph" w:styleId="Title">
    <w:name w:val="Title"/>
    <w:basedOn w:val="Normal"/>
    <w:qFormat/>
    <w:pPr>
      <w:widowControl/>
      <w:jc w:val="center"/>
    </w:pPr>
    <w:rPr>
      <w:b/>
      <w:sz w:val="28"/>
    </w:rPr>
  </w:style>
  <w:style w:type="paragraph" w:styleId="ListBullet3">
    <w:name w:val="List Bullet 3"/>
    <w:basedOn w:val="Normal"/>
    <w:autoRedefine/>
    <w:pPr>
      <w:widowControl/>
      <w:ind w:hanging="360" w:start="1080"/>
    </w:pPr>
    <w:rPr/>
  </w:style>
  <w:style w:type="paragraph" w:styleId="DeltaViewTableHeading">
    <w:name w:val="DeltaView Table Heading"/>
    <w:basedOn w:val="Normal"/>
    <w:qFormat/>
    <w:pPr>
      <w:widowControl/>
      <w:spacing w:before="0" w:after="120"/>
    </w:pPr>
    <w:rPr>
      <w:rFonts w:ascii="Arial" w:hAnsi="Arial"/>
      <w:b/>
    </w:rPr>
  </w:style>
  <w:style w:type="paragraph" w:styleId="DeltaViewTableBody">
    <w:name w:val="DeltaView Table Body"/>
    <w:basedOn w:val="Normal"/>
    <w:qFormat/>
    <w:pPr>
      <w:widowControl/>
    </w:pPr>
    <w:rPr>
      <w:rFonts w:ascii="Arial" w:hAnsi="Arial"/>
    </w:rPr>
  </w:style>
  <w:style w:type="paragraph" w:styleId="DeltaViewAnnounce">
    <w:name w:val="DeltaView Announce"/>
    <w:qFormat/>
    <w:pPr>
      <w:widowControl/>
      <w:bidi w:val="0"/>
      <w:spacing w:before="100" w:after="100"/>
    </w:pPr>
    <w:rPr>
      <w:rFonts w:ascii="Arial" w:hAnsi="Arial" w:eastAsia="Symbol" w:cs="Tahoma"/>
      <w:color w:val="auto"/>
      <w:kern w:val="2"/>
      <w:sz w:val="24"/>
      <w:szCs w:val="24"/>
      <w:lang w:val="en-GB" w:eastAsia="zh-CN" w:bidi="hi-IN"/>
    </w:rPr>
  </w:style>
  <w:style w:type="paragraph" w:styleId="CommentText">
    <w:name w:val="annotation text"/>
    <w:basedOn w:val="Normal"/>
    <w:pPr>
      <w:widowControl/>
    </w:pPr>
    <w:rPr>
      <w:sz w:val="20"/>
    </w:rPr>
  </w:style>
  <w:style w:type="paragraph" w:styleId="DocumentMap">
    <w:name w:val="Document Map"/>
    <w:basedOn w:val="Normal"/>
    <w:qFormat/>
    <w:pPr>
      <w:widowControl/>
      <w:shd w:fill="000080"/>
    </w:pPr>
    <w:rPr>
      <w:rFonts w:ascii="Tahoma" w:hAnsi="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4769</Words>
  <Characters>30760</Characters>
  <CharactersWithSpaces>25982</CharactersWithSpaces>
  <Company>LLGM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2000-12-27T19:10:00Z</dcterms:created>
  <dc:creator>tjones</dc:creator>
  <dc:description/>
  <cp:keywords>12/27/00 7:10:21 PM</cp:keywords>
  <dc:language>en-US</dc:language>
  <cp:lastModifiedBy/>
  <cp:lastPrinted>2000-12-27T19:10:00Z</cp:lastPrinted>
  <dcterms:modified xsi:type="dcterms:W3CDTF">2000-12-27T19:10:00Z</dcterms:modified>
  <cp:revision>3</cp:revision>
  <dc:subject/>
  <dc:title>ASSIGNMENT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Michael Didriksen</vt:lpwstr>
  </property>
</Properties>
</file>