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40" w:after="0"/>
        <w:jc w:val="center"/>
        <w:rPr/>
      </w:pPr>
      <w:r>
        <w:rPr/>
        <w:t>April 24, 2001</w:t>
      </w:r>
    </w:p>
    <w:p>
      <w:pPr>
        <w:pStyle w:val="Heading2"/>
        <w:spacing w:before="960" w:after="0"/>
        <w:ind w:hanging="0" w:start="0"/>
        <w:rPr/>
      </w:pPr>
      <w:r>
        <w:rPr/>
        <w:t>VIA FACSIMILE AND</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HAND DELIVERY</w:t>
      </w:r>
    </w:p>
    <w:p>
      <w:pPr>
        <w:pStyle w:val="Normal"/>
        <w:widowControl/>
        <w:autoSpaceDE w:val="false"/>
        <w:spacing w:lineRule="atLeast" w:line="240"/>
        <w:rPr>
          <w:b/>
        </w:rPr>
      </w:pPr>
      <w:r>
        <w:rPr>
          <w:b/>
        </w:rPr>
        <w:t>(415) 973-9176 / (415) 973-0750/ (415) 973-9213</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Pacific Gas &amp; Electric Company</w:t>
        <w:tab/>
        <w:t>Pacific Gas &amp; Electric Company</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w:t>
        <w:tab/>
        <w:t>77 Beale Street</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San Francisco, CA  94177 </w:t>
        <w:tab/>
        <w:t>San Francisco, CA  94177</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Mr. Joseph C. Henri</w:t>
        <w:tab/>
        <w:t>Attention:  Contract Administration</w:t>
      </w:r>
    </w:p>
    <w:p>
      <w:pPr>
        <w:pStyle w:val="2"/>
        <w:widowControl/>
        <w:spacing w:before="240" w:after="0"/>
        <w:ind w:hanging="360" w:end="0"/>
        <w:rPr>
          <w:sz w:val="20"/>
        </w:rPr>
      </w:pPr>
      <w:r>
        <w:rPr>
          <w:sz w:val="20"/>
        </w:rPr>
        <w:t>Re:</w:t>
        <w:tab/>
        <w:t>Master Power Purchase and Sale Agreement between Pacific Gas &amp; Electric Company ("PG&amp;E") and Enron Power Marketing, Inc. ("EPMI") dated as of  October 9, 2000 (the "Master Power Agreement" or "MPA").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Pacific Gas and Electric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Mail Code B7A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 Room 727C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94105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Risk Management Accounting</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ISDA Master Agreement between PG&amp;E Core, a division of PG&amp;E, and Enron North America Corp. ("ENA"), dated as of May 15, 2000 (the "Master ISDA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PG&amp;E Core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Procurement Mail Code N14B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P.O. Box 77000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94117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Contract Administration</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Enfolio Firm General Terms and Conditions and Confirmation dated November 27, 2000 (Trans. No. QB8206.1/500415) between PG&amp;E and ENA (the "US Gas Agreement")</w:t>
      </w:r>
    </w:p>
    <w:p>
      <w:pPr>
        <w:pStyle w:val="Normal"/>
        <w:widowControl/>
        <w:autoSpaceDE w:val="false"/>
        <w:spacing w:lineRule="atLeast" w:line="240" w:before="240" w:after="0"/>
        <w:rPr/>
      </w:pPr>
      <w:r>
        <w:rPr/>
        <w:t>Pacific Gas and Electric Company</w:t>
      </w:r>
    </w:p>
    <w:p>
      <w:pPr>
        <w:pStyle w:val="Normal"/>
        <w:widowControl/>
        <w:autoSpaceDE w:val="false"/>
        <w:spacing w:lineRule="atLeast" w:line="240"/>
        <w:rPr/>
      </w:pPr>
      <w:r>
        <w:rPr/>
        <w:t>Gas Procurement, P.O. Box 770000 - Mail Code B5F</w:t>
      </w:r>
    </w:p>
    <w:p>
      <w:pPr>
        <w:pStyle w:val="Normal"/>
        <w:widowControl/>
        <w:autoSpaceDE w:val="false"/>
        <w:spacing w:lineRule="atLeast" w:line="240"/>
        <w:rPr/>
      </w:pPr>
      <w:r>
        <w:rPr/>
        <w:t>San Francisco, California  94177</w:t>
      </w:r>
    </w:p>
    <w:p>
      <w:pPr>
        <w:pStyle w:val="Normal"/>
        <w:widowControl/>
        <w:autoSpaceDE w:val="false"/>
        <w:spacing w:lineRule="atLeast" w:line="240" w:before="240" w:after="0"/>
        <w:rPr/>
      </w:pPr>
      <w:r>
        <w:rPr/>
        <w:t>77 Beale Street - Mail Code B5F</w:t>
      </w:r>
    </w:p>
    <w:p>
      <w:pPr>
        <w:pStyle w:val="Normal"/>
        <w:widowControl/>
        <w:autoSpaceDE w:val="false"/>
        <w:spacing w:lineRule="atLeast" w:line="240"/>
        <w:rPr/>
      </w:pPr>
      <w:r>
        <w:rPr/>
        <w:t>San Francisco, California  94105</w:t>
      </w:r>
    </w:p>
    <w:p>
      <w:pPr>
        <w:pStyle w:val="Normal"/>
        <w:widowControl/>
        <w:autoSpaceDE w:val="false"/>
        <w:spacing w:lineRule="atLeast" w:line="240"/>
        <w:rPr/>
      </w:pPr>
      <w:r>
        <w:rPr/>
        <w:t>Attention:</w:t>
        <w:tab/>
        <w:t>Contract Administrator</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240" w:after="0"/>
        <w:ind w:hanging="360" w:start="720" w:end="0"/>
        <w:rPr>
          <w:sz w:val="20"/>
        </w:rPr>
      </w:pPr>
      <w:r>
        <w:rPr>
          <w:sz w:val="20"/>
        </w:rPr>
        <w:t>Re:</w:t>
        <w:tab/>
        <w:t>PG&amp;E Core Agreement 5763 Dated:  October 1, 1999, Master Gas Purchase and Sales Agreement between PG&amp;E On Behalf of Its Core Customers and Enron Canada Corp. ("ECC") (the "Canadian Gas Agreement")</w:t>
      </w:r>
    </w:p>
    <w:p>
      <w:pPr>
        <w:pStyle w:val="Normal"/>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jc w:val="both"/>
        <w:rPr/>
      </w:pPr>
      <w:r>
        <w:rPr/>
        <w:t>Dear Sirs: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ind w:firstLine="720" w:end="0"/>
        <w:rPr>
          <w:sz w:val="20"/>
        </w:rPr>
      </w:pPr>
      <w:r>
        <w:rPr>
          <w:sz w:val="20"/>
        </w:rPr>
        <w:t>As you are aware, PG&amp;E filed a voluntary Chapter 11 petition under Title 11 of the United States Code (the "Bankruptcy Code") on April 6, 2001, in the United States Bankruptcy Court for the Northern District of California, San Francisco Division (No. 01-30923) (the "Bankruptcy Filing").   As a result of such Bankruptcy Filing or in connection with Enron's exercise of certain termination rights under the parties' forward and swap contracts, a number of transactions between Enron and PG&amp;E have been terminated, consistent with Sections 556 and 560 of the Bankruptcy Code.  Final settlement of such forward and swap contracts is exempt from the automatic stay pursuant to Sections 362(b)(6) and (17) of the Bankruptcy Code.  The following is a list of all the transactions that have been terminated, together with Enron's determination of the amounts owed in connection with each such termination.</w:t>
      </w:r>
    </w:p>
    <w:p>
      <w:pPr>
        <w:pStyle w:val="BodyText"/>
        <w:keepNext w:val="true"/>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rPr>
          <w:b/>
          <w:sz w:val="20"/>
        </w:rPr>
      </w:pPr>
      <w:r>
        <w:rPr>
          <w:b/>
          <w:sz w:val="20"/>
        </w:rPr>
        <w:t>TERMINATION OF COMMODITY FORWARD AND SWAP TRANSACTIONS BY ENRON</w:t>
      </w:r>
    </w:p>
    <w:p>
      <w:pPr>
        <w:pStyle w:val="BodyText"/>
        <w:keepNext w:val="true"/>
        <w:widowControl/>
        <w:tabs>
          <w:tab w:val="clear" w:pos="720"/>
          <w:tab w:val="left" w:pos="0" w:leader="none"/>
          <w:tab w:val="left" w:pos="7124" w:leader="none"/>
          <w:tab w:val="left" w:pos="7560" w:leader="none"/>
          <w:tab w:val="left" w:pos="8280" w:leader="none"/>
          <w:tab w:val="left" w:pos="9000" w:leader="none"/>
        </w:tabs>
        <w:spacing w:before="240" w:after="0"/>
        <w:rPr>
          <w:sz w:val="20"/>
          <w:u w:val="single"/>
        </w:rPr>
      </w:pPr>
      <w:r>
        <w:rPr>
          <w:sz w:val="20"/>
          <w:u w:val="single"/>
        </w:rPr>
        <w:t>US Power Transactions</w:t>
      </w:r>
    </w:p>
    <w:p>
      <w:pPr>
        <w:pStyle w:val="BodyText"/>
        <w:keepNext w:val="true"/>
        <w:widowControl/>
        <w:tabs>
          <w:tab w:val="clear" w:pos="720"/>
          <w:tab w:val="left" w:pos="0" w:leader="none"/>
          <w:tab w:val="left" w:pos="7124" w:leader="none"/>
          <w:tab w:val="left" w:pos="7560" w:leader="none"/>
          <w:tab w:val="left" w:pos="8280" w:leader="none"/>
          <w:tab w:val="left" w:pos="9000" w:leader="none"/>
        </w:tabs>
        <w:spacing w:before="240" w:after="0"/>
        <w:ind w:firstLine="720" w:end="0"/>
        <w:rPr/>
      </w:pPr>
      <w:r>
        <w:rPr>
          <w:sz w:val="20"/>
        </w:rPr>
        <w:t xml:space="preserve">Pursuant to the MPA, EPMI was selling power to PG&amp;E pursuant to 3 transactions prior to the termination of such transactions.   A summary of the terms of these transactions is set forth in </w:t>
      </w:r>
      <w:r>
        <w:rPr>
          <w:sz w:val="20"/>
          <w:u w:val="single"/>
        </w:rPr>
        <w:t>Appendix A,</w:t>
      </w:r>
      <w:r>
        <w:rPr>
          <w:sz w:val="20"/>
        </w:rPr>
        <w:t xml:space="preserve"> together with a copy of the MPA.  Pursuant to the MPA, EPMI provided notice to PG&amp;E that EPMI was terminating the 3 transactions effective April 9, 2001 due to the Bankruptcy Filing.  A copy of this notice is attached as </w:t>
      </w:r>
      <w:r>
        <w:rPr>
          <w:sz w:val="20"/>
          <w:u w:val="single"/>
        </w:rPr>
        <w:t>Appendix A-1</w:t>
      </w:r>
      <w:r>
        <w:rPr>
          <w:sz w:val="20"/>
        </w:rPr>
        <w:t>.</w:t>
      </w:r>
    </w:p>
    <w:p>
      <w:pPr>
        <w:pStyle w:val="BodyText"/>
        <w:widowControl/>
        <w:tabs>
          <w:tab w:val="clear" w:pos="720"/>
          <w:tab w:val="left" w:pos="0" w:leader="none"/>
          <w:tab w:val="left" w:pos="7124" w:leader="none"/>
          <w:tab w:val="left" w:pos="7560" w:leader="none"/>
          <w:tab w:val="left" w:pos="8280" w:leader="none"/>
          <w:tab w:val="left" w:pos="9000" w:leader="none"/>
        </w:tabs>
        <w:spacing w:before="240" w:after="0"/>
        <w:ind w:firstLine="720" w:end="0"/>
        <w:rPr/>
      </w:pPr>
      <w:r>
        <w:rPr>
          <w:sz w:val="20"/>
        </w:rPr>
        <w:t xml:space="preserve">Pursuant to Sections 5.2 and 5.3 of the MPA, the non-defaulting party, in this case EPMI, is required to compute a settlement amount with respect to each terminated transaction and to aggregate such amounts into a termination payment consistent with the parameters set forth in such agreement.  Based on EPMI's calculations, in connection with power previously delivered by EPMI to PG&amp;E pursuant to the 3 US power transactions, PG&amp;E owes EPMI $_______ (U.S.), which represents the sum of previously issued and unpaid invoices and additional amounts in respect of deliveries prior to the Early Termination Date for which invoices had not yet been issued.  EPMI, on the other hand, owes PG&amp;E a total settlement amount (after aggregating the termination values for all of the transactions) of $_________ (U.S.), thereby resulting in a total amount owing from EPMI to PG&amp;E under the MPA as a result of the termination of the transactions of $_____________ (U.S.).   </w:t>
      </w:r>
      <w:r>
        <w:rPr>
          <w:sz w:val="20"/>
          <w:u w:val="single"/>
        </w:rPr>
        <w:t>Appendix A</w:t>
      </w:r>
      <w:r>
        <w:rPr>
          <w:sz w:val="20"/>
        </w:rPr>
        <w:t xml:space="preserve"> sets forth the history and calculation of the unpaid amounts owed to EPMI on account of prior power deliveries and the calculation of the settlement amount for each of the transactions, including a description of the method EPMI used to determine the amount of the termination payment owing to PG&amp;E as required by the MPA.</w:t>
      </w:r>
    </w:p>
    <w:p>
      <w:pPr>
        <w:pStyle w:val="BodyText"/>
        <w:widowControl/>
        <w:tabs>
          <w:tab w:val="clear" w:pos="720"/>
          <w:tab w:val="left" w:pos="0" w:leader="none"/>
          <w:tab w:val="left" w:pos="360" w:leader="none"/>
          <w:tab w:val="left" w:pos="1080" w:leader="none"/>
          <w:tab w:val="left" w:pos="7124" w:leader="none"/>
        </w:tabs>
        <w:spacing w:before="240" w:after="0"/>
        <w:ind w:hanging="360" w:start="360" w:end="0"/>
        <w:rPr>
          <w:sz w:val="20"/>
          <w:u w:val="single"/>
        </w:rPr>
      </w:pPr>
      <w:r>
        <w:rPr>
          <w:sz w:val="20"/>
          <w:u w:val="single"/>
        </w:rPr>
        <w:t>US Gas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Pursuant to the US Gas Agreement, ENA was obligated to sell natural gas to PG&amp;E.  A summary of the transaction subject to the US Gas Agreement is set forth in </w:t>
      </w:r>
      <w:r>
        <w:rPr>
          <w:sz w:val="20"/>
          <w:u w:val="single"/>
        </w:rPr>
        <w:t>Appendix B</w:t>
      </w:r>
      <w:r>
        <w:rPr>
          <w:sz w:val="20"/>
        </w:rPr>
        <w:t xml:space="preserve">, together with a copy of the US Gas Agreement.   Pursuant to the terms of the US Gas Agreement, this transaction was automatically terminated as a result of, and effective as of the date of, the Bankruptcy Filing (April 6, 2001).  ENA notified PG&amp;E of this automatic termination pursuant to a letter dated April 9, 2001, a copy of which is attached as </w:t>
      </w:r>
      <w:r>
        <w:rPr>
          <w:sz w:val="20"/>
          <w:u w:val="single"/>
        </w:rPr>
        <w:t>Appendix B-1</w:t>
      </w:r>
      <w:r>
        <w:rPr>
          <w:sz w:val="20"/>
        </w:rPr>
        <w:t xml:space="preserve">.  </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Like the MPA, the US Gas Agreement requires, in Section 3, the non-defaulting party, in this case ENA, to calculate the termination payment that may be due in connection with such termination consistent with the parameters set forth in such agreement.  Based on ENA's calculations, in connection with previous deliveries of gas, PG&amp;E owes ENA $________ (U.S.).  PG&amp;E also owes ENA a termination payment pursuant to the US Gas Agreement of $_________ (U.S.), thereby resulting in a total amount owing from PG&amp;E to ENA of $_____________ (U.S.).  </w:t>
      </w:r>
      <w:r>
        <w:rPr>
          <w:sz w:val="20"/>
          <w:u w:val="single"/>
        </w:rPr>
        <w:t>Appendix B</w:t>
      </w:r>
      <w:r>
        <w:rPr>
          <w:sz w:val="20"/>
        </w:rPr>
        <w:t xml:space="preserve"> sets forth the history and calculation of the unpaid amounts owed to ENA on account of prior gas deliveries and the calculation of the termination payment, including a description of the method ENA used to determine the amount of the termination payment owing to ENA as required by the US Gas Agreement.</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rPr>
          <w:sz w:val="20"/>
          <w:u w:val="single"/>
        </w:rPr>
      </w:pPr>
      <w:r>
        <w:rPr>
          <w:sz w:val="20"/>
          <w:u w:val="single"/>
        </w:rPr>
        <w:t>Canadian Gas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Pursuant to the Canadian Gas Agreement ("CGA") and the transactions subject thereto, ECC was selling natural gas to PG&amp;E  pursuant to 11 transactions prior the termination of such transactions.  A summary of the terms of the transactions is set forth in </w:t>
      </w:r>
      <w:r>
        <w:rPr>
          <w:sz w:val="20"/>
          <w:u w:val="single"/>
        </w:rPr>
        <w:t>Appendix C,</w:t>
      </w:r>
      <w:r>
        <w:rPr>
          <w:sz w:val="20"/>
        </w:rPr>
        <w:t xml:space="preserve"> together with a copy of the CGA.  Pursuant thereto, ECC provided notice to PG&amp;E that ECC was terminating the 11 transactions effective April 12, 2001.  A copy of this notice is attached as </w:t>
      </w:r>
      <w:r>
        <w:rPr>
          <w:sz w:val="20"/>
          <w:u w:val="single"/>
        </w:rPr>
        <w:t>Appendix C-1</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Like the MPA and the US Gas Agreement, the CGA requires the non-defaulting party, in this case ECC, to calculate the termination payment that may be due in connection with such termination consistent with the parameters set forth in such agreement.  Based on ECC's calculations, in connection with gas delivered pursuant to the 11 Canadian gas transactions, PG&amp;E owes ECC $_________ (U.S.), which represents the sum of previously issued and unpaid invoices and additional amounts in respect of gas deliveries prior to the termination date for which invoices had not yet been issued as of such date.  ECC owes PG&amp;E a total termination payment (after netting the termination values for all of the transactions) of $_________ (U.S.), thereby resulting in a total amount owing from PG&amp;E to ECC of $_____________ (U.S.) as a result of the termination of the transactions.   </w:t>
      </w:r>
      <w:r>
        <w:rPr>
          <w:sz w:val="20"/>
          <w:u w:val="single"/>
        </w:rPr>
        <w:t>Appendix C</w:t>
      </w:r>
      <w:r>
        <w:rPr>
          <w:sz w:val="20"/>
        </w:rPr>
        <w:t xml:space="preserve"> sets forth the history and calculation of the calculation of the unpaid amounts owed to ECC on account of prior gas deliveries and the calculation of the termination payment for each of the transactions, including a description of the method ECC used to determine the amount of the termination payment owing to PG&amp;E as required by the CGSA.</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rPr>
          <w:sz w:val="20"/>
          <w:u w:val="single"/>
        </w:rPr>
      </w:pPr>
      <w:r>
        <w:rPr>
          <w:sz w:val="20"/>
          <w:u w:val="single"/>
        </w:rPr>
        <w:t>US Financial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Pursuant to the Master ISDA Agreement, ENA entered into 5 financially settled, gas basis swaps with PG&amp;E which were documented under 10 separate confirmations.   A summary of the terms of the transactions is set forth in </w:t>
      </w:r>
      <w:r>
        <w:rPr>
          <w:sz w:val="20"/>
          <w:u w:val="single"/>
        </w:rPr>
        <w:t>Appendix D,</w:t>
      </w:r>
      <w:r>
        <w:rPr>
          <w:sz w:val="20"/>
        </w:rPr>
        <w:t xml:space="preserve"> together with a copy of the Master ISDA Agreement.  Pursuant to the Master ISDA Agreement, ENA provided notice to PG&amp;E that ENA was terminating the 10 transactions effective April 9, 2001.  A copy of this notice is attached as </w:t>
      </w:r>
      <w:r>
        <w:rPr>
          <w:sz w:val="20"/>
          <w:u w:val="single"/>
        </w:rPr>
        <w:t>Appendix D-1</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Like the other agreements described above, the Master ISDA Agreement requires, in Section 6(d) of such agreement,  the non-defaulting party, in this case ENA, to calculate the termination payment that may be due in connection with such termination consistent with the parameters set forth in such agreement.  Based on ENA's calculations, PG&amp;E owes ENA $_______ (U.S.) in unpaid receivables in connection with the 10  financially settled, gas basis swap transactions and PG&amp;E owes ENA a total termination payment (after aggregating the termination values for all of the transactions) of $_________ (U.S.) as a result of the termination of the transactions, for a total amount owing from PG&amp;E to ENA of $_____________ (U.S.).   </w:t>
      </w:r>
      <w:r>
        <w:rPr>
          <w:sz w:val="20"/>
          <w:u w:val="single"/>
        </w:rPr>
        <w:t>Appendix D</w:t>
      </w:r>
      <w:r>
        <w:rPr>
          <w:sz w:val="20"/>
        </w:rPr>
        <w:t xml:space="preserve"> sets forth the history and amount of the unpaid receivables and the amount of the termination payment for each of the transactions, including a description of the method ENA used to determine the amount of the termination payment owing to PG&amp;E as required by the Master ISDA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rPr>
          <w:sz w:val="20"/>
          <w:u w:val="single"/>
        </w:rPr>
      </w:pPr>
      <w:r>
        <w:rPr>
          <w:sz w:val="20"/>
          <w:u w:val="single"/>
        </w:rPr>
        <w:t>Interest Rate and Conversion Factor</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pPr>
      <w:r>
        <w:rPr>
          <w:sz w:val="20"/>
        </w:rPr>
        <w:t xml:space="preserve">For purposes of calculating the termination payments under the MPA and the US Gas Agreement, Enron used a LIBOR-based curve.   </w:t>
      </w:r>
      <w:r>
        <w:rPr>
          <w:sz w:val="20"/>
          <w:u w:val="single"/>
        </w:rPr>
        <w:t>Appendix E</w:t>
      </w:r>
      <w:r>
        <w:rPr>
          <w:sz w:val="20"/>
        </w:rPr>
        <w:t xml:space="preserve"> sets forth the LIBOR-based curves utilized, together with an explanation on how it was derived.  For purposes of calculating the termination payment under the CGA, Enron used a prime rate as set forth in </w:t>
      </w:r>
      <w:r>
        <w:rPr>
          <w:sz w:val="20"/>
          <w:u w:val="single"/>
        </w:rPr>
        <w:t>Appendix E</w:t>
      </w:r>
      <w:r>
        <w:rPr>
          <w:sz w:val="20"/>
        </w:rPr>
        <w:t xml:space="preserve">.  To the extent the CGA required conversion from Canadian dollars to U.S. dollars, Enron used the rate set forth in </w:t>
      </w:r>
      <w:r>
        <w:rPr>
          <w:sz w:val="20"/>
          <w:u w:val="single"/>
        </w:rPr>
        <w:t>Appendix E</w:t>
      </w:r>
      <w:r>
        <w:rPr>
          <w:sz w:val="20"/>
        </w:rPr>
        <w:t>.</w:t>
      </w:r>
    </w:p>
    <w:p>
      <w:pPr>
        <w:pStyle w:val="BodyText"/>
        <w:keepNext w:val="true"/>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ind w:hanging="360" w:start="360" w:end="0"/>
        <w:rPr>
          <w:b/>
          <w:sz w:val="20"/>
        </w:rPr>
      </w:pPr>
      <w:r>
        <w:rPr>
          <w:b/>
          <w:sz w:val="20"/>
        </w:rPr>
        <w:t>B.</w:t>
        <w:tab/>
        <w:t>SUMMARY OF AMOUNTS OWED BETWEEN ENRON AND PG&amp;E IN CONNECTION WITH CERTAIN COMMODITY FORWARD AND SWAP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sz w:val="20"/>
        </w:rPr>
      </w:pPr>
      <w:r>
        <w:rPr>
          <w:sz w:val="20"/>
        </w:rPr>
        <w:t>The following is a summary of the net payments due and owing between Enron and PG&amp;E in connection with the above commodity forward and swap transactions:</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ind w:start="2160" w:end="0"/>
        <w:rPr>
          <w:sz w:val="20"/>
        </w:rPr>
      </w:pPr>
      <w:r>
        <w:rPr>
          <w:sz w:val="20"/>
        </w:rPr>
        <w:t>EPMI owes PG&amp;E</w:t>
        <w:tab/>
        <w:tab/>
        <w:t>($______________)</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power</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MPA</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ENA</w:t>
        <w:tab/>
        <w:tab/>
        <w:t>$______________</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U.S.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Agreement</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ECC</w:t>
        <w:tab/>
        <w:tab/>
        <w:t>$______________</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Canadian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CSA</w:t>
      </w:r>
    </w:p>
    <w:p>
      <w:pPr>
        <w:pStyle w:val="BodyText"/>
        <w:widowControl/>
        <w:tabs>
          <w:tab w:val="clear" w:pos="720"/>
          <w:tab w:val="left" w:pos="0" w:leader="none"/>
          <w:tab w:val="right" w:pos="5040" w:leader="none"/>
          <w:tab w:val="left" w:pos="5760" w:leader="none"/>
          <w:tab w:val="left" w:pos="6480" w:leader="none"/>
          <w:tab w:val="left" w:pos="7200" w:leader="none"/>
        </w:tabs>
        <w:spacing w:before="120" w:after="0"/>
        <w:ind w:start="2160" w:end="0"/>
        <w:rPr>
          <w:sz w:val="20"/>
        </w:rPr>
      </w:pPr>
      <w:r>
        <w:rPr>
          <w:sz w:val="20"/>
        </w:rPr>
        <w:t>PG&amp;E owes ENA</w:t>
        <w:tab/>
        <w:tab/>
        <w:t>$______________</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financial</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Master</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ISDA Agreement</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rPr>
          <w:sz w:val="20"/>
        </w:rPr>
      </w:pPr>
      <w:r>
        <w:rPr>
          <w:sz w:val="20"/>
        </w:rPr>
        <w:t>The amounts set forth above do not include amounts that may be owing under any of the agreements in respect of the period from and after the respective termination dates nor is this letter intended to set forth all claims of Enron and its affiliates against PG&amp;E.  Lastly, as you are also aware, under the terms of the above referenced agreements, PG&amp;E will also be responsible for all reasonable attorneys' fees and expenses incurred by Enron in connection with the termination of transactions.</w:t>
      </w:r>
    </w:p>
    <w:p>
      <w:pPr>
        <w:pStyle w:val="BodyText"/>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ind w:hanging="360" w:start="360" w:end="0"/>
        <w:rPr>
          <w:b/>
          <w:sz w:val="20"/>
        </w:rPr>
      </w:pPr>
      <w:r>
        <w:rPr>
          <w:b/>
          <w:sz w:val="20"/>
        </w:rPr>
        <w:t>C.</w:t>
        <w:tab/>
        <w:t>OTHER AMOUNTS DUE AND OWING FROM PG&amp;E TO EPMI PRIOR TO THE BANKRUPTCY FILING</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ind w:firstLine="720" w:end="0"/>
        <w:rPr>
          <w:sz w:val="20"/>
        </w:rPr>
      </w:pPr>
      <w:r>
        <w:rPr>
          <w:sz w:val="20"/>
        </w:rPr>
        <w:t xml:space="preserve">In addition to the amounts set forth above, PG&amp;E owes EPMI significant amounts in connection with both (1) PG&amp;E's non-payment to the California Power Exchange ("CalPX") and the California Independent System Operator ("ISO") of substantial sums due and owing by PG&amp;E to the PX and ISO, respectively, which non-payments by PG&amp;E (a) resulted in a shortfall in payments due and owing by the CalPX and ISO to EPMI  and (b) with respect to the CalPX, may result in a "charge back liability" to EPMI for a portion of such payment failures pursuant to the CalPX tariff (collectively, the "CalPX and ISO Unpaid Amounts"), and with respect to which in both cases EPMI is entitled to seek recourse directly against the defaulting party, in this case PG&amp;E; and (2) PG&amp;E's non-payment of substantial "direct access credits," often referred to as "negative CTCs" ("Direct Access Credits"), that were accrued and owing prior to the Bankruptcy Filing and which related to the provision of retail electric power by two Enron retail energy service providers for direct access customers located in PG&amp;E's service territory.  The claim against PG&amp;E for payment of the Direct Access Credits is held by EPMI pursuant to EPMI's assumption of the wholesale power purchase portfolio formerly held by the two Enron retail energy service providers (Enron Energy Services, Inc. and Enron Energy Marketing Corp.), as noted in Enron's public filings and which was effective December 31, 2000, consistent with (a) Enron's objective of having EPMI, its wholesale power company, manage all risks and exposures associated with the purchase, sale and cost management of wholesale power and (b) the direct linkage between the determination and calculation of the Direct Access Credits and the wholesale cost of power. </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ind w:firstLine="720" w:end="0"/>
        <w:rPr>
          <w:sz w:val="20"/>
        </w:rPr>
      </w:pPr>
      <w:r>
        <w:rPr>
          <w:sz w:val="20"/>
        </w:rPr>
        <w:t>Because of the delay in the completion of the CalPX's and ISO's accounting and reconciliation statements and invoices, due, in part, to the cessation of CalPX's ongoing operations and certain unresolved valuation and tariff application questions affecting the CalPX and its properties, EPMI has not been informed of the amount of the claims it has against PG&amp;E resulting from PG&amp;E's defaults on certain of its CalPX and ISO obligations.  Enron estimates, however, based on certain financial information it has received to date from the CalPX and ISO, including certain assumptions pertaining to the allocation of payment shortfalls resulting from publicly disclosed non-payments by PG&amp;E and Southern California Edison Company, respectively, that EPMI (exclusive of any amounts owed to any other Enron affiliate, including Portland General) likely will have claims against PG&amp;E on account of its defaults to the CalPX and the ISO that are well in excess of $30 million.  EPMI will inform PG&amp;E as soon as practicable of the amounts it is owed on account of PG&amp;E's defaults promptly upon receipt of such information from the CalPX or its successor or designee and the ISO.</w:t>
      </w:r>
    </w:p>
    <w:p>
      <w:pPr>
        <w:pStyle w:val="BodyText"/>
        <w:widowControl/>
        <w:tabs>
          <w:tab w:val="clear" w:pos="720"/>
          <w:tab w:val="left" w:pos="0" w:leader="none"/>
          <w:tab w:val="right" w:pos="5040" w:leader="none"/>
          <w:tab w:val="left" w:pos="5760" w:leader="none"/>
          <w:tab w:val="left" w:pos="6480" w:leader="none"/>
          <w:tab w:val="left" w:pos="7200" w:leader="none"/>
        </w:tabs>
        <w:spacing w:before="240" w:after="0"/>
        <w:ind w:firstLine="720" w:end="0"/>
        <w:rPr>
          <w:sz w:val="20"/>
        </w:rPr>
      </w:pPr>
      <w:r>
        <w:rPr>
          <w:sz w:val="20"/>
        </w:rPr>
        <w:t xml:space="preserve">Enron also estimates that PG&amp;E owes EPMI approximately $380 million in unpaid Direct Access Credits as of the date of the Bankruptcy Filing.  </w:t>
      </w:r>
    </w:p>
    <w:p>
      <w:pPr>
        <w:pStyle w:val="BodyText"/>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120"/>
        <w:rPr>
          <w:b/>
          <w:sz w:val="20"/>
        </w:rPr>
      </w:pPr>
      <w:r>
        <w:rPr>
          <w:b/>
          <w:sz w:val="20"/>
        </w:rPr>
        <w:t>D.</w:t>
        <w:tab/>
        <w:t>EXERCISE OF SETOFF RIGHTS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sz w:val="20"/>
        </w:rPr>
      </w:pPr>
      <w:r>
        <w:rPr>
          <w:sz w:val="20"/>
        </w:rPr>
        <w:t>Sections 5.6 and 5.4 of the MPA, respectively, expressly provide as follows: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firstLine="720" w:end="0"/>
        <w:rPr>
          <w:sz w:val="20"/>
        </w:rPr>
      </w:pPr>
      <w:r>
        <w:rPr>
          <w:sz w:val="20"/>
        </w:rPr>
        <w:t>[Section 5.4]</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ind w:start="720" w:end="720"/>
        <w:jc w:val="both"/>
        <w:rPr/>
      </w:pPr>
      <w:r>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w:t>
      </w:r>
      <w:r>
        <w:rPr>
          <w:b/>
          <w:bCs/>
          <w:i/>
        </w:rPr>
        <w:t>(which agreements shall include any natural gas purchase and sale agreements between EPMI’s Affiliates and Party B.)</w:t>
      </w:r>
      <w:r>
        <w:rPr/>
        <w:t xml:space="preserve">.  Notwithstanding anything to the contrary in this Agreement, any right of setoff to which any Party may otherwise be entitled (whether by operation of law, contract or otherwise) shall not apply with respect to any amounts owed under any other agreements between the parties that are based on the International Swaps and Derivatives Association Master Agreement,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(Emphasis added). </w:t>
      </w:r>
    </w:p>
    <w:p>
      <w:pPr>
        <w:pStyle w:val="Normal"/>
        <w:widowControl/>
        <w:tabs>
          <w:tab w:val="left" w:pos="0" w:leader="none"/>
          <w:tab w:val="left" w:pos="72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240" w:after="0"/>
        <w:jc w:val="both"/>
        <w:rPr/>
      </w:pPr>
      <w:r>
        <w:rPr/>
        <w:tab/>
        <w:t>[Section 5.6]</w:t>
      </w:r>
    </w:p>
    <w:p>
      <w:pPr>
        <w:pStyle w:val="BlockText"/>
        <w:spacing w:before="240" w:after="0"/>
        <w:rPr/>
      </w:pPr>
      <w:r>
        <w:rPr/>
        <w:t xml:space="preserve">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w:t>
      </w:r>
      <w:r>
        <w:rPr>
          <w:b/>
          <w:bCs/>
          <w:i/>
        </w:rPr>
        <w:t>under this Agreement or any  physical natural gas purchase or sale agreement(s) between Party B and Party A or Party A’s Affiliates which are due and payable as of the Early Termination Date</w:t>
      </w:r>
      <w:r>
        <w:rPr/>
        <w:t xml:space="preserve"> (including for these purposes amounts payable pursuant to Excluded Transactions) have been fully and finally performed. [Section 5.4]" (Emphasis added.)</w:t>
      </w:r>
    </w:p>
    <w:p>
      <w:pPr>
        <w:pStyle w:val="BodyText"/>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ind w:firstLine="720" w:end="0"/>
        <w:rPr>
          <w:sz w:val="20"/>
        </w:rPr>
      </w:pPr>
      <w:r>
        <w:rPr>
          <w:sz w:val="20"/>
        </w:rPr>
        <w:t>Pursuant to the foregoing express contractual rights and in accordance with the rights granted in Sections 362(b)(6) and (17) of the Bankruptcy Code, EPMI is exercising its rights to setoff amounts EPMI owes PG&amp;E under the MPA against amounts PG&amp;E owes EPMI as well as its affiliates, ENA and ECC, for natural gas sales pursuant to the US Gas Agreement and the CGA, respectively. These contractual setoff rights are a recognized exception to the general mutuality provisions of bankruptcy setoff law.  In accordance with the limitations set forth in Section 5.4 of the MPA, EPMI shall not setoff amounts owed under any agreements between the parties that are based on the International Swaps and Derivatives Association Master Agreement.  Enron will file a claim in the bankruptcy court for any amounts remaining unpaid by PG&amp;E after EPMI's exercise of its setoff rights.</w:t>
      </w:r>
    </w:p>
    <w:p>
      <w:pPr>
        <w:pStyle w:val="BodyText2"/>
        <w:rPr/>
      </w:pPr>
      <w:r>
        <w:rPr/>
        <w:tab/>
        <w:t>We note from the record that James L. Lopes of Howard, Rice, Nemerovski, Canady, Falk &amp; Rabkin represents you with respect to the bankruptcy proceedings in the United States Bankruptcy Court for the Northern District of California, San Francisco Division (No. 01-30923).  We are therefore are providing Howard, Rice, Nemerovski, Canady, Falk &amp; Rabkin with a copy of this letter.</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jc w:val="both"/>
        <w:rPr/>
      </w:pPr>
      <w:r>
        <w:rPr/>
        <w:tab/>
        <w:tab/>
        <w:tab/>
        <w:tab/>
        <w:tab/>
        <w:tab/>
        <w:t>Very truly yours,</w:t>
      </w:r>
    </w:p>
    <w:p>
      <w:pPr>
        <w:pStyle w:val="Normal"/>
        <w:widowControl/>
        <w:tabs>
          <w:tab w:val="clear" w:pos="720"/>
          <w:tab w:val="left" w:pos="0" w:leader="none"/>
          <w:tab w:val="left" w:pos="4320" w:leader="none"/>
          <w:tab w:val="left" w:pos="9180" w:leader="none"/>
          <w:tab w:val="left" w:pos="9360" w:leader="none"/>
        </w:tabs>
        <w:spacing w:before="720" w:after="0"/>
        <w:jc w:val="both"/>
        <w:rPr/>
      </w:pPr>
      <w:r>
        <w:rPr/>
        <w:tab/>
        <w:t xml:space="preserve">By:  </w:t>
      </w:r>
      <w:r>
        <w:rPr>
          <w:u w:val="single"/>
        </w:rPr>
        <w:tab/>
      </w:r>
    </w:p>
    <w:p>
      <w:pPr>
        <w:pStyle w:val="Normal"/>
        <w:widowControl/>
        <w:tabs>
          <w:tab w:val="clear" w:pos="720"/>
          <w:tab w:val="left" w:pos="0" w:leader="none"/>
          <w:tab w:val="left" w:pos="4320" w:leader="none"/>
          <w:tab w:val="left" w:pos="9180" w:leader="none"/>
          <w:tab w:val="left" w:pos="9360" w:leader="none"/>
        </w:tabs>
        <w:jc w:val="both"/>
        <w:rPr/>
      </w:pPr>
      <w:r>
        <w:rPr/>
        <w:tab/>
        <w:t xml:space="preserve">Name:  </w:t>
      </w:r>
      <w:r>
        <w:rPr>
          <w:u w:val="single"/>
        </w:rPr>
        <w:tab/>
      </w:r>
    </w:p>
    <w:p>
      <w:pPr>
        <w:pStyle w:val="Normal"/>
        <w:widowControl/>
        <w:tabs>
          <w:tab w:val="clear" w:pos="720"/>
          <w:tab w:val="left" w:pos="0" w:leader="none"/>
          <w:tab w:val="left" w:pos="4320" w:leader="none"/>
          <w:tab w:val="left" w:pos="9180" w:leader="none"/>
          <w:tab w:val="left" w:pos="9360" w:leader="none"/>
        </w:tabs>
        <w:jc w:val="both"/>
        <w:rPr/>
      </w:pPr>
      <w:r>
        <w:rPr/>
        <w:tab/>
        <w:t xml:space="preserve">Title:  </w:t>
      </w:r>
      <w:r>
        <w:rPr>
          <w:u w:val="single"/>
        </w:rPr>
        <w:tab/>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240" w:after="0"/>
        <w:rPr>
          <w:sz w:val="20"/>
        </w:rPr>
      </w:pPr>
      <w:r>
        <w:rPr>
          <w:sz w:val="20"/>
        </w:rPr>
        <w:t>cc:  James L. Lopes (by facsimile:  415-217-5910)</w:t>
      </w:r>
    </w:p>
    <w:sectPr>
      <w:headerReference w:type="default" r:id="rId2"/>
      <w:headerReference w:type="first" r:id="rId3"/>
      <w:footerReference w:type="default" r:id="rId4"/>
      <w:footerReference w:type="first" r:id="rId5"/>
      <w:type w:val="nextPage"/>
      <w:pgSz w:w="12240" w:h="15840"/>
      <w:pgMar w:left="1440" w:right="1440" w:gutter="0" w:header="720" w:top="776" w:footer="1195" w:bottom="12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/mnt/main-storage/datasets/enron-docs/doc/Settlement_2-f890b7b6b91809000db80829631fd266a6f7c7074c552bd8392ed2aec3612c9d.DOC</w:t>
    </w:r>
    <w:r>
      <w:rPr>
        <w:sz w:val="12"/>
      </w:rPr>
      <w:fldChar w:fldCharType="end"/>
    </w:r>
  </w:p>
  <w:p>
    <w:pPr>
      <w:pStyle w:val="Footer"/>
      <w:widowControl/>
      <w:ind w:end="36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/mnt/main-storage/datasets/enron-docs/doc/Settlement_2-f890b7b6b91809000db80829631fd266a6f7c7074c552bd8392ed2aec3612c9d.DOC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t>Pacific Gas &amp; Electric Company</w:t>
    </w:r>
  </w:p>
  <w:p>
    <w:pPr>
      <w:pStyle w:val="Header"/>
      <w:widowControl/>
      <w:rPr>
        <w:sz w:val="20"/>
      </w:rPr>
    </w:pPr>
    <w:r>
      <w:rPr>
        <w:sz w:val="20"/>
      </w:rPr>
      <w:t>April 24, 2001</w:t>
    </w:r>
  </w:p>
  <w:p>
    <w:pPr>
      <w:pStyle w:val="Header"/>
      <w:widowControl/>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6</w:t>
    </w:r>
    <w:r>
      <w:rPr>
        <w:sz w:val="20"/>
      </w:rPr>
      <w:fldChar w:fldCharType="end"/>
    </w:r>
  </w:p>
  <w:p>
    <w:pPr>
      <w:pStyle w:val="Header"/>
      <w:widowControl/>
      <w:rPr>
        <w:sz w:val="20"/>
      </w:rPr>
    </w:pPr>
    <w:r>
      <w:rPr>
        <w:sz w:val="20"/>
      </w:rPr>
    </w:r>
  </w:p>
  <w:p>
    <w:pPr>
      <w:pStyle w:val="Header"/>
      <w:widowControl/>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360"/>
        </w:tabs>
        <w:ind w:start="1080" w:hanging="360"/>
      </w:pPr>
    </w:lvl>
    <w:lvl w:ilvl="3">
      <w:start w:val="1"/>
      <w:numFmt w:val="decimal"/>
      <w:lvlText w:val="%4."/>
      <w:lvlJc w:val="start"/>
      <w:pPr>
        <w:tabs>
          <w:tab w:val="num" w:pos="360"/>
        </w:tabs>
        <w:ind w:start="1440" w:hanging="360"/>
      </w:pPr>
    </w:lvl>
    <w:lvl w:ilvl="4">
      <w:start w:val="1"/>
      <w:numFmt w:val="lowerLetter"/>
      <w:lvlText w:val="%5."/>
      <w:lvlJc w:val="start"/>
      <w:pPr>
        <w:tabs>
          <w:tab w:val="num" w:pos="360"/>
        </w:tabs>
        <w:ind w:start="1800" w:hanging="360"/>
      </w:pPr>
    </w:lvl>
    <w:lvl w:ilvl="5">
      <w:start w:val="1"/>
      <w:numFmt w:val="lowerRoman"/>
      <w:lvlText w:val="%6."/>
      <w:lvlJc w:val="start"/>
      <w:pPr>
        <w:tabs>
          <w:tab w:val="num" w:pos="360"/>
        </w:tabs>
        <w:ind w:start="2160" w:hanging="360"/>
      </w:pPr>
    </w:lvl>
    <w:lvl w:ilvl="6">
      <w:start w:val="1"/>
      <w:numFmt w:val="decimal"/>
      <w:lvlText w:val="%7."/>
      <w:lvlJc w:val="start"/>
      <w:pPr>
        <w:tabs>
          <w:tab w:val="num" w:pos="360"/>
        </w:tabs>
        <w:ind w:start="2520" w:hanging="360"/>
      </w:pPr>
    </w:lvl>
    <w:lvl w:ilvl="7">
      <w:start w:val="1"/>
      <w:numFmt w:val="lowerLetter"/>
      <w:lvlText w:val="%8."/>
      <w:lvlJc w:val="start"/>
      <w:pPr>
        <w:tabs>
          <w:tab w:val="num" w:pos="360"/>
        </w:tabs>
        <w:ind w:start="2880" w:hanging="360"/>
      </w:pPr>
    </w:lvl>
    <w:lvl w:ilvl="8">
      <w:start w:val="1"/>
      <w:numFmt w:val="lowerRoman"/>
      <w:lvlText w:val="%9"/>
      <w:lvlJc w:val="start"/>
      <w:pPr>
        <w:tabs>
          <w:tab w:val="num" w:pos="36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sz w:val="28"/>
      <w:lang w:val="en-CA" w:eastAsia="en-CA"/>
    </w:rPr>
  </w:style>
  <w:style w:type="paragraph" w:styleId="Heading2">
    <w:name w:val="heading 2"/>
    <w:basedOn w:val="Normal"/>
    <w:next w:val="Normal"/>
    <w:qFormat/>
    <w:pPr>
      <w:keepNext w:val="true"/>
      <w:widowControl/>
      <w:numPr>
        <w:ilvl w:val="1"/>
        <w:numId w:val="1"/>
      </w:numPr>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spacing w:before="800" w:after="0"/>
      <w:jc w:val="both"/>
      <w:outlineLvl w:val="1"/>
    </w:pPr>
    <w:rPr>
      <w:b/>
    </w:rPr>
  </w:style>
  <w:style w:type="character" w:styleId="DefaultParagraphFont">
    <w:name w:val="Default Paragraph Font"/>
    <w:qFormat/>
    <w:rPr/>
  </w:style>
  <w:style w:type="character" w:styleId="PageNumber">
    <w:name w:val="page number"/>
    <w:basedOn w:val="DefaultParagraphFon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1">
    <w:name w:val="1"/>
    <w:qFormat/>
    <w:pPr>
      <w:widowControl w:val="false"/>
      <w:tabs>
        <w:tab w:val="clear" w:pos="720"/>
        <w:tab w:val="left" w:pos="0" w:leader="none"/>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ind w:hanging="0" w:start="1170" w:end="0"/>
      <w:jc w:val="both"/>
    </w:pPr>
    <w:rPr>
      <w:rFonts w:ascii="Times New Roman" w:hAnsi="Times New Roman" w:eastAsia="Times New Roman" w:cs="Times New Roman"/>
      <w:color w:val="auto"/>
      <w:sz w:val="22"/>
      <w:szCs w:val="20"/>
      <w:lang w:val="en-US" w:bidi="ar-SA" w:eastAsia="zh-CN"/>
    </w:rPr>
  </w:style>
  <w:style w:type="paragraph" w:styleId="BodyTextFi">
    <w:name w:val="Body Text Fi"/>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verbody">
    <w:name w:val="cover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In">
    <w:name w:val="Body Text In"/>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bidi w:val="0"/>
      <w:ind w:hanging="0" w:start="1080" w:end="0"/>
    </w:pPr>
    <w:rPr>
      <w:rFonts w:ascii="Times New Roman" w:hAnsi="Times New Roman" w:eastAsia="Times New Roman" w:cs="Times New Roman"/>
      <w:color w:val="auto"/>
      <w:sz w:val="24"/>
      <w:szCs w:val="20"/>
      <w:lang w:val="en-US" w:bidi="ar-SA" w:eastAsia="zh-CN"/>
    </w:rPr>
  </w:style>
  <w:style w:type="paragraph" w:styleId="BlockText">
    <w:name w:val="Block Text"/>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279"/>
      <w:ind w:hanging="0" w:start="720" w:end="720"/>
      <w:jc w:val="both"/>
    </w:pPr>
    <w:rPr/>
  </w:style>
  <w:style w:type="paragraph" w:styleId="BodyText2">
    <w:name w:val="Body Text 2"/>
    <w:basedOn w:val="Normal"/>
    <w:qFormat/>
    <w:pPr>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0"/>
      <w:jc w:val="both"/>
    </w:pPr>
    <w:rPr/>
  </w:style>
  <w:style w:type="paragraph" w:styleId="HeaderLeft">
    <w:name w:val="Header Left"/>
    <w:basedOn w:val="Header"/>
    <w:qFormat/>
    <w:pPr>
      <w:suppressLineNumbers/>
      <w:tabs>
        <w:tab w:val="clear" w:pos="0"/>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2001-04-23T13:28:00Z</dcterms:created>
  <dc:creator>LeBoeuf, Lamb, Greene &amp; MacRae, L.L.P.</dc:creator>
  <dc:description>March 29, 1999</dc:description>
  <dc:language>en-CA</dc:language>
  <cp:lastModifiedBy>bwhiteh</cp:lastModifiedBy>
  <cp:lastPrinted>2001-04-24T09:31:00Z</cp:lastPrinted>
  <dcterms:modified xsi:type="dcterms:W3CDTF">2001-04-24T12:02:00Z</dcterms:modified>
  <cp:revision>13</cp:revision>
  <dc:subject/>
  <dc:title>Draft of 4/16/01</dc:title>
</cp:coreProperties>
</file>