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360" w:end="0"/>
        <w:jc w:val="center"/>
        <w:rPr>
          <w:sz w:val="22"/>
        </w:rPr>
      </w:pPr>
      <w:r>
        <w:rPr>
          <w:sz w:val="22"/>
        </w:rPr>
        <w:t>RTO Week – Session on Cost Recovery Issues</w:t>
      </w:r>
    </w:p>
    <w:p>
      <w:pPr>
        <w:pStyle w:val="Normal"/>
        <w:ind w:start="360" w:end="0"/>
        <w:rPr>
          <w:sz w:val="22"/>
        </w:rPr>
      </w:pPr>
      <w:r>
        <w:rPr>
          <w:sz w:val="22"/>
        </w:rPr>
      </w:r>
    </w:p>
    <w:p>
      <w:pPr>
        <w:pStyle w:val="Normal"/>
        <w:ind w:start="360" w:end="0"/>
        <w:rPr>
          <w:sz w:val="22"/>
        </w:rPr>
      </w:pPr>
      <w:r>
        <w:rPr>
          <w:sz w:val="22"/>
        </w:rPr>
        <w:t>Speakers:</w:t>
      </w:r>
    </w:p>
    <w:p>
      <w:pPr>
        <w:pStyle w:val="Normal"/>
        <w:ind w:start="360" w:end="0"/>
        <w:rPr>
          <w:sz w:val="22"/>
        </w:rPr>
      </w:pPr>
      <w:r>
        <w:rPr>
          <w:sz w:val="22"/>
        </w:rPr>
      </w:r>
    </w:p>
    <w:p>
      <w:pPr>
        <w:pStyle w:val="Normal"/>
        <w:numPr>
          <w:ilvl w:val="0"/>
          <w:numId w:val="2"/>
        </w:numPr>
        <w:rPr>
          <w:sz w:val="22"/>
        </w:rPr>
      </w:pPr>
      <w:r>
        <w:rPr>
          <w:sz w:val="22"/>
        </w:rPr>
        <w:t>Craig Baker, Sr.VP, Regulation &amp; Public Policy, AEP Services Corp (transmission)</w:t>
      </w:r>
    </w:p>
    <w:p>
      <w:pPr>
        <w:pStyle w:val="Normal"/>
        <w:numPr>
          <w:ilvl w:val="0"/>
          <w:numId w:val="2"/>
        </w:numPr>
        <w:rPr>
          <w:sz w:val="22"/>
        </w:rPr>
      </w:pPr>
      <w:r>
        <w:rPr>
          <w:sz w:val="22"/>
        </w:rPr>
        <w:t>Susan Kelly, Principal, Miller, Ballis &amp; O’Neil</w:t>
      </w:r>
    </w:p>
    <w:p>
      <w:pPr>
        <w:pStyle w:val="Normal"/>
        <w:numPr>
          <w:ilvl w:val="0"/>
          <w:numId w:val="2"/>
        </w:numPr>
        <w:rPr>
          <w:sz w:val="22"/>
        </w:rPr>
      </w:pPr>
      <w:r>
        <w:rPr>
          <w:sz w:val="22"/>
        </w:rPr>
        <w:t>William Newman, Sr. VP, Transmission Planning and Operations, Southern Co</w:t>
      </w:r>
    </w:p>
    <w:p>
      <w:pPr>
        <w:pStyle w:val="Normal"/>
        <w:numPr>
          <w:ilvl w:val="0"/>
          <w:numId w:val="2"/>
        </w:numPr>
        <w:rPr>
          <w:sz w:val="22"/>
        </w:rPr>
      </w:pPr>
      <w:r>
        <w:rPr>
          <w:sz w:val="22"/>
        </w:rPr>
        <w:t>Steve Ward, Public Advocate, Maine Consumer Counsel</w:t>
      </w:r>
    </w:p>
    <w:p>
      <w:pPr>
        <w:pStyle w:val="Normal"/>
        <w:numPr>
          <w:ilvl w:val="0"/>
          <w:numId w:val="2"/>
        </w:numPr>
        <w:rPr>
          <w:sz w:val="22"/>
        </w:rPr>
      </w:pPr>
      <w:r>
        <w:rPr>
          <w:sz w:val="22"/>
        </w:rPr>
        <w:t>Matthew Wright, Sr. VP, PacifiCorp</w:t>
      </w:r>
    </w:p>
    <w:p>
      <w:pPr>
        <w:pStyle w:val="Normal"/>
        <w:numPr>
          <w:ilvl w:val="0"/>
          <w:numId w:val="2"/>
        </w:numPr>
        <w:rPr>
          <w:sz w:val="22"/>
        </w:rPr>
      </w:pPr>
      <w:r>
        <w:rPr>
          <w:sz w:val="22"/>
        </w:rPr>
        <w:t xml:space="preserve">James Irvin, President, Western Conference of Public Service Commissioners (AZ) </w:t>
      </w:r>
    </w:p>
    <w:p>
      <w:pPr>
        <w:pStyle w:val="Normal"/>
        <w:ind w:start="360" w:end="0"/>
        <w:rPr>
          <w:sz w:val="22"/>
        </w:rPr>
      </w:pPr>
      <w:r>
        <w:rPr>
          <w:sz w:val="22"/>
        </w:rPr>
      </w:r>
    </w:p>
    <w:p>
      <w:pPr>
        <w:pStyle w:val="Normal"/>
        <w:rPr>
          <w:sz w:val="22"/>
        </w:rPr>
      </w:pPr>
      <w:r>
        <w:rPr>
          <w:sz w:val="22"/>
        </w:rPr>
        <w:t>The session was somewhat interesting (with Sue Kelly there) but very convoluted.  Luckily, the session wound up differently from prior sessions and the speakers were asked to summarize their positions by providing their recommendations regarding the following topics:</w:t>
      </w:r>
    </w:p>
    <w:p>
      <w:pPr>
        <w:pStyle w:val="Normal"/>
        <w:rPr>
          <w:sz w:val="22"/>
        </w:rPr>
      </w:pPr>
      <w:r>
        <w:rPr>
          <w:sz w:val="22"/>
        </w:rPr>
      </w:r>
    </w:p>
    <w:p>
      <w:pPr>
        <w:pStyle w:val="Normal"/>
        <w:numPr>
          <w:ilvl w:val="0"/>
          <w:numId w:val="6"/>
        </w:numPr>
        <w:rPr>
          <w:sz w:val="22"/>
        </w:rPr>
      </w:pPr>
      <w:r>
        <w:rPr>
          <w:sz w:val="22"/>
        </w:rPr>
        <w:t>Cost recovery for existing facilities</w:t>
      </w:r>
    </w:p>
    <w:p>
      <w:pPr>
        <w:pStyle w:val="Normal"/>
        <w:numPr>
          <w:ilvl w:val="0"/>
          <w:numId w:val="6"/>
        </w:numPr>
        <w:rPr>
          <w:sz w:val="22"/>
        </w:rPr>
      </w:pPr>
      <w:r>
        <w:rPr>
          <w:sz w:val="22"/>
        </w:rPr>
        <w:t>Cost recovery incentives for infrastructure development</w:t>
      </w:r>
    </w:p>
    <w:p>
      <w:pPr>
        <w:pStyle w:val="Normal"/>
        <w:numPr>
          <w:ilvl w:val="0"/>
          <w:numId w:val="6"/>
        </w:numPr>
        <w:rPr>
          <w:sz w:val="22"/>
        </w:rPr>
      </w:pPr>
      <w:r>
        <w:rPr>
          <w:sz w:val="22"/>
        </w:rPr>
        <w:t>Reconciling FERC and State regulatory perspectives.</w:t>
      </w:r>
    </w:p>
    <w:p>
      <w:pPr>
        <w:pStyle w:val="Normal"/>
        <w:ind w:start="360" w:end="0"/>
        <w:rPr>
          <w:sz w:val="22"/>
        </w:rPr>
      </w:pPr>
      <w:r>
        <w:rPr>
          <w:sz w:val="22"/>
        </w:rPr>
      </w:r>
    </w:p>
    <w:p>
      <w:pPr>
        <w:pStyle w:val="Normal"/>
        <w:rPr>
          <w:sz w:val="22"/>
        </w:rPr>
      </w:pPr>
      <w:r>
        <w:rPr>
          <w:sz w:val="22"/>
        </w:rPr>
        <w:t>The speakers’ positions and recommendations are summarized as follows:</w:t>
      </w:r>
    </w:p>
    <w:p>
      <w:pPr>
        <w:pStyle w:val="Normal"/>
        <w:rPr>
          <w:sz w:val="22"/>
        </w:rPr>
      </w:pPr>
      <w:r>
        <w:rPr>
          <w:sz w:val="22"/>
        </w:rPr>
      </w:r>
    </w:p>
    <w:p>
      <w:pPr>
        <w:pStyle w:val="Normal"/>
        <w:ind w:hanging="720" w:start="720" w:end="0"/>
        <w:rPr>
          <w:sz w:val="22"/>
        </w:rPr>
      </w:pPr>
      <w:r>
        <w:rPr>
          <w:sz w:val="22"/>
        </w:rPr>
        <w:t>A.1.</w:t>
        <w:tab/>
        <w:t>Provide adequate rates of return and recovery of investments in building RTO’s.  Additional costs of RTO’s need to be recovered even if they are stranded.</w:t>
      </w:r>
    </w:p>
    <w:p>
      <w:pPr>
        <w:pStyle w:val="Normal"/>
        <w:ind w:hanging="720" w:start="720" w:end="0"/>
        <w:rPr>
          <w:sz w:val="22"/>
        </w:rPr>
      </w:pPr>
      <w:r>
        <w:rPr>
          <w:sz w:val="22"/>
        </w:rPr>
        <w:t>A.2.</w:t>
        <w:tab/>
        <w:t>New rate mechanisms need to be developed.</w:t>
      </w:r>
    </w:p>
    <w:p>
      <w:pPr>
        <w:pStyle w:val="Normal"/>
        <w:rPr>
          <w:sz w:val="22"/>
        </w:rPr>
      </w:pPr>
      <w:r>
        <w:rPr>
          <w:sz w:val="22"/>
        </w:rPr>
        <w:t>A.3.</w:t>
        <w:tab/>
        <w:t>Coordination recommended; work together with the states, especially for siting.</w:t>
      </w:r>
    </w:p>
    <w:p>
      <w:pPr>
        <w:pStyle w:val="Normal"/>
        <w:rPr>
          <w:sz w:val="22"/>
        </w:rPr>
      </w:pPr>
      <w:r>
        <w:rPr>
          <w:sz w:val="22"/>
        </w:rPr>
      </w:r>
    </w:p>
    <w:p>
      <w:pPr>
        <w:pStyle w:val="Normal"/>
        <w:rPr>
          <w:sz w:val="22"/>
        </w:rPr>
      </w:pPr>
      <w:r>
        <w:rPr>
          <w:sz w:val="22"/>
        </w:rPr>
      </w:r>
    </w:p>
    <w:p>
      <w:pPr>
        <w:pStyle w:val="Normal"/>
        <w:ind w:hanging="720" w:start="720" w:end="0"/>
        <w:rPr>
          <w:sz w:val="22"/>
        </w:rPr>
      </w:pPr>
      <w:r>
        <w:rPr>
          <w:sz w:val="22"/>
        </w:rPr>
        <w:t>B1</w:t>
        <w:tab/>
        <w:t>Believes in cost recovery for all transmission owners.  No bribes should be paid to join RTO’s; i.e. pay costs but no more.  Cost of RTO formation should be recoverable for everyone– not just transmission owners have incurred costs. Cost recovery should be available as long as the party has engaged in a good faith, participatory process; recognizes the problem – how to determine if this is the case.</w:t>
      </w:r>
    </w:p>
    <w:p>
      <w:pPr>
        <w:pStyle w:val="Normal"/>
        <w:ind w:hanging="720" w:start="720" w:end="0"/>
        <w:rPr>
          <w:sz w:val="22"/>
        </w:rPr>
      </w:pPr>
      <w:r>
        <w:rPr>
          <w:sz w:val="22"/>
        </w:rPr>
        <w:t>B2</w:t>
        <w:tab/>
        <w:t>Expansion – rolled in if the facility is beneficial for whole region.  Interested in formula rates.</w:t>
      </w:r>
    </w:p>
    <w:p>
      <w:pPr>
        <w:pStyle w:val="Normal"/>
        <w:rPr>
          <w:sz w:val="22"/>
        </w:rPr>
      </w:pPr>
      <w:r>
        <w:rPr>
          <w:sz w:val="22"/>
        </w:rPr>
        <w:t>B3</w:t>
        <w:tab/>
        <w:t>State vs. federal is a challenge.  Mentioned the Enron Supreme Court case.</w:t>
      </w:r>
    </w:p>
    <w:p>
      <w:pPr>
        <w:pStyle w:val="Normal"/>
        <w:rPr>
          <w:sz w:val="22"/>
        </w:rPr>
      </w:pPr>
      <w:r>
        <w:rPr>
          <w:sz w:val="22"/>
        </w:rPr>
      </w:r>
    </w:p>
    <w:p>
      <w:pPr>
        <w:pStyle w:val="Normal"/>
        <w:rPr>
          <w:sz w:val="22"/>
        </w:rPr>
      </w:pPr>
      <w:r>
        <w:rPr>
          <w:sz w:val="22"/>
        </w:rPr>
        <w:t>C.1.</w:t>
        <w:tab/>
        <w:t>Set reasonable rates of return for wholesale rates.</w:t>
      </w:r>
    </w:p>
    <w:p>
      <w:pPr>
        <w:pStyle w:val="BodyTextIndent2"/>
        <w:rPr>
          <w:sz w:val="22"/>
        </w:rPr>
      </w:pPr>
      <w:r>
        <w:rPr>
          <w:sz w:val="22"/>
        </w:rPr>
        <w:t>C.2.</w:t>
        <w:tab/>
        <w:t>Shorter depreciation periods reduce risk and incentivize lending and investment.  Formula rates encourage additional investment. Make sure states are involved.  Assuring prudence of investments is an important issue.</w:t>
      </w:r>
    </w:p>
    <w:p>
      <w:pPr>
        <w:pStyle w:val="Normal"/>
        <w:rPr>
          <w:sz w:val="22"/>
        </w:rPr>
      </w:pPr>
      <w:r>
        <w:rPr>
          <w:sz w:val="22"/>
        </w:rPr>
        <w:t>C.3.</w:t>
        <w:tab/>
        <w:t>Need serious participation of state regulators</w:t>
      </w:r>
    </w:p>
    <w:p>
      <w:pPr>
        <w:pStyle w:val="Normal"/>
        <w:rPr>
          <w:sz w:val="22"/>
        </w:rPr>
      </w:pPr>
      <w:r>
        <w:rPr>
          <w:sz w:val="22"/>
        </w:rPr>
      </w:r>
    </w:p>
    <w:p>
      <w:pPr>
        <w:pStyle w:val="BodyTextIndent2"/>
        <w:rPr>
          <w:sz w:val="22"/>
        </w:rPr>
      </w:pPr>
      <w:r>
        <w:rPr>
          <w:sz w:val="22"/>
        </w:rPr>
        <w:t>D.1.</w:t>
        <w:tab/>
        <w:t>Fairly straight forward- spread costs over widest universe of customers; especially RTO start up costs.</w:t>
      </w:r>
    </w:p>
    <w:p>
      <w:pPr>
        <w:pStyle w:val="Normal"/>
        <w:ind w:hanging="720" w:start="720" w:end="0"/>
        <w:rPr>
          <w:sz w:val="22"/>
        </w:rPr>
      </w:pPr>
      <w:r>
        <w:rPr>
          <w:sz w:val="22"/>
        </w:rPr>
        <w:t>D.2.</w:t>
        <w:tab/>
        <w:t>Not comfortable with incentive regulation. FERC shouldn’t jump in without knowing the pitfalls and trap doors of incentive regulation. A federal grant of eminent domain for siting is not a good idea.</w:t>
      </w:r>
    </w:p>
    <w:p>
      <w:pPr>
        <w:pStyle w:val="BodyTextIndent2"/>
        <w:rPr>
          <w:sz w:val="22"/>
        </w:rPr>
      </w:pPr>
      <w:r>
        <w:rPr>
          <w:sz w:val="22"/>
        </w:rPr>
        <w:t>D.3.</w:t>
        <w:tab/>
        <w:t>Interactive and consultative.  From a New England perspective, what FERC is doing is compatible.</w:t>
      </w:r>
    </w:p>
    <w:p>
      <w:pPr>
        <w:pStyle w:val="Normal"/>
        <w:rPr>
          <w:sz w:val="22"/>
        </w:rPr>
      </w:pPr>
      <w:r>
        <w:rPr>
          <w:sz w:val="22"/>
        </w:rPr>
      </w:r>
    </w:p>
    <w:p>
      <w:pPr>
        <w:pStyle w:val="Normal"/>
        <w:ind w:hanging="720" w:start="720" w:end="0"/>
        <w:rPr>
          <w:sz w:val="22"/>
        </w:rPr>
      </w:pPr>
      <w:r>
        <w:rPr>
          <w:sz w:val="22"/>
        </w:rPr>
        <w:t>E1&amp;3</w:t>
        <w:tab/>
        <w:t>Need to be able to get costs passed through in retail rates before state commissions.</w:t>
      </w:r>
    </w:p>
    <w:p>
      <w:pPr>
        <w:pStyle w:val="Normal"/>
        <w:ind w:hanging="720" w:start="720" w:end="0"/>
        <w:rPr>
          <w:sz w:val="22"/>
        </w:rPr>
      </w:pPr>
      <w:r>
        <w:rPr>
          <w:sz w:val="22"/>
        </w:rPr>
        <w:t>E2</w:t>
        <w:tab/>
        <w:t>Incentive rates, if done correctly, are the way to go.  Demand side management is also an option.  Incremental pricing.</w:t>
      </w:r>
    </w:p>
    <w:p>
      <w:pPr>
        <w:pStyle w:val="Normal"/>
        <w:rPr>
          <w:sz w:val="22"/>
        </w:rPr>
      </w:pPr>
      <w:r>
        <w:rPr>
          <w:sz w:val="22"/>
        </w:rPr>
      </w:r>
    </w:p>
    <w:p>
      <w:pPr>
        <w:pStyle w:val="BodyTextIndent"/>
        <w:ind w:hanging="720" w:start="720" w:end="0"/>
        <w:rPr>
          <w:sz w:val="22"/>
        </w:rPr>
      </w:pPr>
      <w:r>
        <w:rPr>
          <w:sz w:val="22"/>
        </w:rPr>
        <w:t>F.1.</w:t>
        <w:tab/>
        <w:t>If the RTO is a market, there can’t be any guaranteed rate of return.  If the RTO is going to be an operator, then we can look at rate of return.  Consumers can’t be charged twice for the same (depreciated) facilities.</w:t>
      </w:r>
    </w:p>
    <w:p>
      <w:pPr>
        <w:pStyle w:val="BodyTextIndent"/>
        <w:ind w:hanging="720" w:start="720" w:end="0"/>
        <w:rPr>
          <w:sz w:val="22"/>
        </w:rPr>
      </w:pPr>
      <w:r>
        <w:rPr>
          <w:sz w:val="22"/>
        </w:rPr>
        <w:t>F.2.</w:t>
        <w:tab/>
        <w:t>New rate designs- Need to come up with these quickly in response to ever-changing markets.  Delay = uncertainty = no incentive for investment.</w:t>
      </w:r>
    </w:p>
    <w:p>
      <w:pPr>
        <w:pStyle w:val="Normal"/>
        <w:ind w:hanging="720" w:start="720" w:end="0"/>
        <w:rPr>
          <w:sz w:val="22"/>
        </w:rPr>
      </w:pPr>
      <w:r>
        <w:rPr>
          <w:sz w:val="22"/>
        </w:rPr>
        <w:t>F.3.</w:t>
        <w:tab/>
        <w:t xml:space="preserve">The “one glove fits all approach” does not work.  Geographic differences need to be recognized in order to get the states to buy in.  States want the siting function; don’t want the feds in there. The RTO can be a valuable asset in developing a nation-wide transmission system, although a step-by-step approach is warranted.  </w:t>
      </w:r>
    </w:p>
    <w:p>
      <w:pPr>
        <w:pStyle w:val="Normal"/>
        <w:rPr>
          <w:sz w:val="22"/>
        </w:rPr>
      </w:pPr>
      <w:r>
        <w:rPr>
          <w:sz w:val="22"/>
        </w:rPr>
      </w:r>
    </w:p>
    <w:p>
      <w:pPr>
        <w:pStyle w:val="Normal"/>
        <w:rPr>
          <w:sz w:val="22"/>
        </w:rPr>
      </w:pPr>
      <w:r>
        <w:rPr>
          <w:sz w:val="22"/>
        </w:rPr>
        <w:t>Commissioner Comments:</w:t>
      </w:r>
    </w:p>
    <w:p>
      <w:pPr>
        <w:pStyle w:val="Normal"/>
        <w:rPr>
          <w:sz w:val="22"/>
        </w:rPr>
      </w:pPr>
      <w:r>
        <w:rPr>
          <w:sz w:val="22"/>
        </w:rPr>
      </w:r>
    </w:p>
    <w:p>
      <w:pPr>
        <w:pStyle w:val="Normal"/>
        <w:rPr>
          <w:sz w:val="22"/>
        </w:rPr>
      </w:pPr>
      <w:r>
        <w:rPr>
          <w:sz w:val="22"/>
        </w:rPr>
        <w:t>Wood</w:t>
      </w:r>
    </w:p>
    <w:p>
      <w:pPr>
        <w:pStyle w:val="Normal"/>
        <w:numPr>
          <w:ilvl w:val="0"/>
          <w:numId w:val="4"/>
        </w:numPr>
        <w:rPr>
          <w:sz w:val="22"/>
        </w:rPr>
      </w:pPr>
      <w:r>
        <w:rPr>
          <w:sz w:val="22"/>
        </w:rPr>
        <w:t>Considers himself an advocate of rolled in rates, but would consider a “better answer”.</w:t>
      </w:r>
    </w:p>
    <w:p>
      <w:pPr>
        <w:pStyle w:val="Normal"/>
        <w:numPr>
          <w:ilvl w:val="0"/>
          <w:numId w:val="1"/>
        </w:numPr>
        <w:rPr>
          <w:sz w:val="22"/>
        </w:rPr>
      </w:pPr>
      <w:r>
        <w:rPr>
          <w:sz w:val="22"/>
        </w:rPr>
        <w:t>Concern- if a new generator bears all incremental costs, what does that do to the size of the market that a consumer can access? / Is the only way to send correct locational price and investment signals to charge all incremental costs to the new generator?</w:t>
      </w:r>
    </w:p>
    <w:p>
      <w:pPr>
        <w:pStyle w:val="Normal"/>
        <w:numPr>
          <w:ilvl w:val="0"/>
          <w:numId w:val="3"/>
        </w:numPr>
        <w:rPr>
          <w:sz w:val="22"/>
        </w:rPr>
      </w:pPr>
      <w:r>
        <w:rPr>
          <w:sz w:val="22"/>
        </w:rPr>
        <w:t>Feels you need to balance these positions:  having absolutely no uneconomic transmission vs. assuring consumer access to more generation.  Sending correct price signals is great, but if no investments are made this is a problem.  The solution is to properly incentivize investment.</w:t>
      </w:r>
    </w:p>
    <w:p>
      <w:pPr>
        <w:pStyle w:val="Normal"/>
        <w:rPr>
          <w:sz w:val="22"/>
        </w:rPr>
      </w:pPr>
      <w:r>
        <w:rPr>
          <w:sz w:val="22"/>
        </w:rPr>
      </w:r>
    </w:p>
    <w:p>
      <w:pPr>
        <w:pStyle w:val="Normal"/>
        <w:rPr>
          <w:sz w:val="22"/>
        </w:rPr>
      </w:pPr>
      <w:r>
        <w:rPr>
          <w:sz w:val="22"/>
        </w:rPr>
        <w:t>Brownell</w:t>
      </w:r>
    </w:p>
    <w:p>
      <w:pPr>
        <w:pStyle w:val="Normal"/>
        <w:numPr>
          <w:ilvl w:val="0"/>
          <w:numId w:val="3"/>
        </w:numPr>
        <w:rPr>
          <w:sz w:val="22"/>
        </w:rPr>
      </w:pPr>
      <w:r>
        <w:rPr>
          <w:sz w:val="22"/>
        </w:rPr>
        <w:t>Siting is a problem; capital cannot be easily raised because of jurisdictional and other uncertainties and expense.  Doesn’t care who does transmission siting, but a plan must be put in place.</w:t>
      </w:r>
    </w:p>
    <w:p>
      <w:pPr>
        <w:pStyle w:val="Normal"/>
        <w:numPr>
          <w:ilvl w:val="0"/>
          <w:numId w:val="3"/>
        </w:numPr>
        <w:rPr>
          <w:sz w:val="22"/>
        </w:rPr>
      </w:pPr>
      <w:r>
        <w:rPr>
          <w:sz w:val="22"/>
        </w:rPr>
        <w:t>Feels she needs input from generators, since none are on the panel.</w:t>
      </w:r>
    </w:p>
    <w:p>
      <w:pPr>
        <w:pStyle w:val="Normal"/>
        <w:rPr>
          <w:sz w:val="22"/>
        </w:rPr>
      </w:pPr>
      <w:r>
        <w:rPr>
          <w:sz w:val="22"/>
        </w:rPr>
      </w:r>
    </w:p>
    <w:p>
      <w:pPr>
        <w:pStyle w:val="Normal"/>
        <w:rPr>
          <w:sz w:val="22"/>
        </w:rPr>
      </w:pPr>
      <w:r>
        <w:rPr>
          <w:sz w:val="22"/>
        </w:rPr>
        <w:t>Massey</w:t>
      </w:r>
    </w:p>
    <w:p>
      <w:pPr>
        <w:pStyle w:val="Normal"/>
        <w:numPr>
          <w:ilvl w:val="0"/>
          <w:numId w:val="5"/>
        </w:numPr>
        <w:rPr>
          <w:sz w:val="22"/>
        </w:rPr>
      </w:pPr>
      <w:r>
        <w:rPr>
          <w:sz w:val="22"/>
        </w:rPr>
        <w:t>Interested in the question of rolled in vs. incremental rates for generation being built near the wellhead (e.g. Louisiana).</w:t>
      </w:r>
    </w:p>
    <w:p>
      <w:pPr>
        <w:pStyle w:val="Normal"/>
        <w:rPr>
          <w:sz w:val="22"/>
        </w:rPr>
      </w:pPr>
      <w:r>
        <w:rPr>
          <w:sz w:val="22"/>
        </w:rPr>
      </w:r>
    </w:p>
    <w:p>
      <w:pPr>
        <w:pStyle w:val="Normal"/>
        <w:rPr>
          <w:sz w:val="22"/>
        </w:rPr>
      </w:pPr>
      <w:r>
        <w:rPr>
          <w:sz w:val="22"/>
        </w:rPr>
        <w:t>Breathitt</w:t>
      </w:r>
    </w:p>
    <w:p>
      <w:pPr>
        <w:pStyle w:val="Normal"/>
        <w:numPr>
          <w:ilvl w:val="0"/>
          <w:numId w:val="5"/>
        </w:numPr>
        <w:rPr>
          <w:sz w:val="22"/>
        </w:rPr>
      </w:pPr>
      <w:r>
        <w:rPr>
          <w:sz w:val="22"/>
        </w:rPr>
        <w:t>Advocate of more parity between state and FERC rates of return.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upperLetter"/>
      <w:lvlText w:val="%1."/>
      <w:lvlJc w:val="start"/>
      <w:pPr>
        <w:tabs>
          <w:tab w:val="num" w:pos="720"/>
        </w:tabs>
        <w:ind w:start="720" w:hanging="360"/>
      </w:pPr>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decimal"/>
      <w:lvlText w:val="%1."/>
      <w:lvlJc w:val="start"/>
      <w:pPr>
        <w:tabs>
          <w:tab w:val="num" w:pos="720"/>
        </w:tabs>
        <w:ind w:start="720" w:hanging="360"/>
      </w:pPr>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1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2z0">
    <w:name w:val="WW8Num1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paragraph" w:styleId="BodyTextIndent2">
    <w:name w:val="Body Text Indent 2"/>
    <w:basedOn w:val="Normal"/>
    <w:qFormat/>
    <w:pPr>
      <w:ind w:hanging="72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2001-10-19T12:29:00Z</dcterms:created>
  <dc:creator>ralvare2</dc:creator>
  <dc:description/>
  <dc:language>en-CA</dc:language>
  <cp:lastModifiedBy>ralvare2</cp:lastModifiedBy>
  <dcterms:modified xsi:type="dcterms:W3CDTF">2001-10-19T12:34:00Z</dcterms:modified>
  <cp:revision>3</cp:revision>
  <dc:subject/>
  <dc:title>Craig Baker, Sr</dc:title>
</cp:coreProperties>
</file>