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1260" w:leader="none"/>
        </w:tabs>
        <w:spacing w:before="0" w:after="60"/>
        <w:ind w:end="-720"/>
        <w:jc w:val="center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Normal"/>
        <w:ind w:hanging="356" w:start="-274" w:end="0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Normal"/>
        <w:ind w:hanging="356" w:start="-274" w:end="0"/>
        <w:jc w:val="center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  <w:t>ANNEX A - SERVICE AND PRICING SCHEDULE</w:t>
      </w:r>
    </w:p>
    <w:p>
      <w:pPr>
        <w:pStyle w:val="Normal"/>
        <w:ind w:hanging="356" w:start="-274" w:end="0"/>
        <w:jc w:val="center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Normal"/>
        <w:ind w:hanging="356" w:start="-274" w:end="0"/>
        <w:jc w:val="center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  <w:t>PRECIOUS METALS</w:t>
      </w:r>
    </w:p>
    <w:p>
      <w:pPr>
        <w:pStyle w:val="Normal"/>
        <w:ind w:hanging="356" w:start="-274" w:end="0"/>
        <w:jc w:val="center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Normal"/>
        <w:ind w:hanging="356" w:start="-274" w:end="0"/>
        <w:jc w:val="center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  <w:t>Effective August 2, 2000</w:t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Set forth below is the Schedule referred to in paragraph (2) of the Participant Agreement.  All charges incurred by Participant will be payable in accordance with the Participant Agreement.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/>
      </w:pPr>
      <w:r>
        <w:rPr>
          <w:rFonts w:cs="Arial" w:ascii="Arial" w:hAnsi="Arial"/>
          <w:sz w:val="22"/>
        </w:rPr>
        <w:t xml:space="preserve">I. </w:t>
        <w:tab/>
      </w:r>
      <w:r>
        <w:rPr>
          <w:rFonts w:cs="Arial" w:ascii="Arial" w:hAnsi="Arial"/>
          <w:sz w:val="22"/>
          <w:u w:val="single"/>
        </w:rPr>
        <w:t>User Fee (per simultaneous User)</w:t>
      </w:r>
    </w:p>
    <w:p>
      <w:pPr>
        <w:pStyle w:val="Normal"/>
        <w:rPr>
          <w:rFonts w:ascii="Arial" w:hAnsi="Arial" w:cs="Arial"/>
          <w:sz w:val="22"/>
          <w:u w:val="single"/>
        </w:rPr>
      </w:pPr>
      <w:r>
        <w:rPr>
          <w:rFonts w:cs="Arial" w:ascii="Arial" w:hAnsi="Arial"/>
          <w:sz w:val="22"/>
          <w:u w:val="single"/>
        </w:rPr>
      </w:r>
    </w:p>
    <w:p>
      <w:pPr>
        <w:pStyle w:val="Normal"/>
        <w:numPr>
          <w:ilvl w:val="2"/>
          <w:numId w:val="4"/>
        </w:numPr>
        <w:tabs>
          <w:tab w:val="clear" w:pos="720"/>
          <w:tab w:val="left" w:pos="1440" w:leader="none"/>
        </w:tabs>
        <w:ind w:hanging="360" w:start="144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$500 per User per month</w:t>
      </w:r>
    </w:p>
    <w:p>
      <w:pPr>
        <w:pStyle w:val="Normal"/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numPr>
          <w:ilvl w:val="2"/>
          <w:numId w:val="4"/>
        </w:numPr>
        <w:tabs>
          <w:tab w:val="clear" w:pos="720"/>
          <w:tab w:val="left" w:pos="1440" w:leader="none"/>
        </w:tabs>
        <w:ind w:hanging="360" w:start="144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Additional $1,000 per User per month surcharge for Singapore private network Users (not applicable to Internet Users)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start="108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Participant’s total monthly Transaction commissions for Precious Metals apply toward Participant’s total monthly Precious Metals User Fees. 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II.</w:t>
        <w:tab/>
      </w:r>
      <w:r>
        <w:rPr>
          <w:rFonts w:cs="Arial" w:ascii="Arial" w:hAnsi="Arial"/>
          <w:sz w:val="22"/>
          <w:u w:val="single"/>
        </w:rPr>
        <w:t>Commission Rates per Transaction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ab/>
      </w:r>
    </w:p>
    <w:p>
      <w:pPr>
        <w:pStyle w:val="Normal"/>
        <w:tabs>
          <w:tab w:val="clear" w:pos="720"/>
          <w:tab w:val="left" w:pos="1800" w:leader="none"/>
          <w:tab w:val="right" w:pos="6480" w:leader="none"/>
        </w:tabs>
        <w:ind w:hanging="720" w:start="21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>Spot Gold</w:t>
        <w:tab/>
        <w:t>No Charge</w:t>
      </w:r>
    </w:p>
    <w:p>
      <w:pPr>
        <w:pStyle w:val="Normal"/>
        <w:tabs>
          <w:tab w:val="clear" w:pos="720"/>
          <w:tab w:val="left" w:pos="1800" w:leader="none"/>
          <w:tab w:val="right" w:pos="6480" w:leader="none"/>
        </w:tabs>
        <w:ind w:hanging="720" w:start="21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>Gold Forward</w:t>
      </w:r>
    </w:p>
    <w:p>
      <w:pPr>
        <w:pStyle w:val="Normal"/>
        <w:tabs>
          <w:tab w:val="clear" w:pos="720"/>
          <w:tab w:val="left" w:pos="1800" w:leader="none"/>
          <w:tab w:val="right" w:pos="6480" w:leader="none"/>
        </w:tabs>
        <w:ind w:hanging="720" w:start="21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ab/>
        <w:t>6 months or less</w:t>
        <w:tab/>
        <w:t>2.0 basis points</w:t>
      </w:r>
    </w:p>
    <w:p>
      <w:pPr>
        <w:pStyle w:val="Normal"/>
        <w:tabs>
          <w:tab w:val="clear" w:pos="720"/>
          <w:tab w:val="left" w:pos="1800" w:leader="none"/>
          <w:tab w:val="right" w:pos="6480" w:leader="none"/>
        </w:tabs>
        <w:ind w:hanging="720" w:start="21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ab/>
        <w:t>1 year or less, but</w:t>
      </w:r>
    </w:p>
    <w:p>
      <w:pPr>
        <w:pStyle w:val="Normal"/>
        <w:tabs>
          <w:tab w:val="clear" w:pos="720"/>
          <w:tab w:val="left" w:pos="1800" w:leader="none"/>
          <w:tab w:val="right" w:pos="6480" w:leader="none"/>
        </w:tabs>
        <w:ind w:hanging="720" w:start="21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ab/>
        <w:t xml:space="preserve">      greater than 6 months</w:t>
        <w:tab/>
        <w:t>1.0 basis points</w:t>
      </w:r>
    </w:p>
    <w:p>
      <w:pPr>
        <w:pStyle w:val="Normal"/>
        <w:tabs>
          <w:tab w:val="clear" w:pos="720"/>
          <w:tab w:val="left" w:pos="1800" w:leader="none"/>
          <w:tab w:val="right" w:pos="6480" w:leader="none"/>
        </w:tabs>
        <w:ind w:hanging="720" w:start="21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ab/>
        <w:t>Greater than 1 year</w:t>
        <w:tab/>
        <w:t>0.5 basis points</w:t>
      </w:r>
    </w:p>
    <w:p>
      <w:pPr>
        <w:pStyle w:val="Normal"/>
        <w:tabs>
          <w:tab w:val="clear" w:pos="720"/>
          <w:tab w:val="left" w:pos="1800" w:leader="none"/>
          <w:tab w:val="right" w:pos="6480" w:leader="none"/>
        </w:tabs>
        <w:ind w:hanging="720" w:start="21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>Gold Options</w:t>
        <w:tab/>
        <w:t>$0.02 per oz.</w:t>
      </w:r>
    </w:p>
    <w:p>
      <w:pPr>
        <w:pStyle w:val="Normal"/>
        <w:tabs>
          <w:tab w:val="clear" w:pos="720"/>
          <w:tab w:val="left" w:pos="1800" w:leader="none"/>
          <w:tab w:val="right" w:pos="6480" w:leader="none"/>
        </w:tabs>
        <w:ind w:hanging="720" w:start="21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</w:r>
    </w:p>
    <w:p>
      <w:pPr>
        <w:pStyle w:val="Normal"/>
        <w:tabs>
          <w:tab w:val="clear" w:pos="720"/>
          <w:tab w:val="left" w:pos="1800" w:leader="none"/>
          <w:tab w:val="right" w:pos="6480" w:leader="none"/>
        </w:tabs>
        <w:ind w:hanging="720" w:start="21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>Spot Silver</w:t>
        <w:tab/>
        <w:t>No Charge</w:t>
      </w:r>
    </w:p>
    <w:p>
      <w:pPr>
        <w:pStyle w:val="Normal"/>
        <w:tabs>
          <w:tab w:val="clear" w:pos="720"/>
          <w:tab w:val="left" w:pos="1800" w:leader="none"/>
          <w:tab w:val="right" w:pos="6480" w:leader="none"/>
        </w:tabs>
        <w:ind w:hanging="720" w:start="21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>Silver Forward</w:t>
      </w:r>
    </w:p>
    <w:p>
      <w:pPr>
        <w:pStyle w:val="Normal"/>
        <w:tabs>
          <w:tab w:val="clear" w:pos="720"/>
          <w:tab w:val="left" w:pos="1800" w:leader="none"/>
          <w:tab w:val="right" w:pos="6480" w:leader="none"/>
        </w:tabs>
        <w:ind w:hanging="720" w:start="21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ab/>
        <w:t>6 months or less</w:t>
        <w:tab/>
        <w:t>2.0 basis points</w:t>
      </w:r>
    </w:p>
    <w:p>
      <w:pPr>
        <w:pStyle w:val="Normal"/>
        <w:tabs>
          <w:tab w:val="clear" w:pos="720"/>
          <w:tab w:val="left" w:pos="1800" w:leader="none"/>
          <w:tab w:val="right" w:pos="6480" w:leader="none"/>
        </w:tabs>
        <w:ind w:hanging="720" w:start="21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ab/>
        <w:t>1 year or less, but</w:t>
      </w:r>
    </w:p>
    <w:p>
      <w:pPr>
        <w:pStyle w:val="Normal"/>
        <w:tabs>
          <w:tab w:val="clear" w:pos="720"/>
          <w:tab w:val="left" w:pos="1800" w:leader="none"/>
          <w:tab w:val="right" w:pos="6480" w:leader="none"/>
        </w:tabs>
        <w:ind w:hanging="720" w:start="21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ab/>
        <w:t xml:space="preserve">      greater than 6 months</w:t>
        <w:tab/>
        <w:t>1.0 basis points</w:t>
      </w:r>
    </w:p>
    <w:p>
      <w:pPr>
        <w:pStyle w:val="Normal"/>
        <w:tabs>
          <w:tab w:val="clear" w:pos="720"/>
          <w:tab w:val="left" w:pos="1800" w:leader="none"/>
          <w:tab w:val="right" w:pos="6480" w:leader="none"/>
        </w:tabs>
        <w:ind w:hanging="720" w:start="21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ab/>
        <w:t>Greater than 1 year</w:t>
        <w:tab/>
        <w:t>0.5 basis points</w:t>
      </w:r>
    </w:p>
    <w:p>
      <w:pPr>
        <w:pStyle w:val="Normal"/>
        <w:tabs>
          <w:tab w:val="clear" w:pos="720"/>
          <w:tab w:val="left" w:pos="1800" w:leader="none"/>
          <w:tab w:val="right" w:pos="6480" w:leader="none"/>
        </w:tabs>
        <w:ind w:hanging="720" w:start="21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>Silver Options</w:t>
        <w:tab/>
        <w:t>$0.00075 per oz.</w:t>
      </w:r>
    </w:p>
    <w:p>
      <w:pPr>
        <w:pStyle w:val="Normal"/>
        <w:tabs>
          <w:tab w:val="clear" w:pos="720"/>
          <w:tab w:val="left" w:pos="1800" w:leader="none"/>
          <w:tab w:val="right" w:pos="6480" w:leader="none"/>
        </w:tabs>
        <w:ind w:hanging="720" w:start="21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tabs>
          <w:tab w:val="clear" w:pos="720"/>
          <w:tab w:val="left" w:pos="1800" w:leader="none"/>
          <w:tab w:val="right" w:pos="6480" w:leader="none"/>
        </w:tabs>
        <w:ind w:hanging="720" w:start="21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tabs>
          <w:tab w:val="clear" w:pos="720"/>
          <w:tab w:val="left" w:pos="1800" w:leader="none"/>
          <w:tab w:val="right" w:pos="6480" w:leader="none"/>
        </w:tabs>
        <w:ind w:hanging="720" w:start="21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>Discounts to above: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1800" w:leader="none"/>
          <w:tab w:val="right" w:pos="6480" w:leader="none"/>
        </w:tabs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No charge for a Forward transaction when traded as a hedge with an Option transaction. </w:t>
      </w:r>
    </w:p>
    <w:p>
      <w:pPr>
        <w:pStyle w:val="Normal"/>
        <w:tabs>
          <w:tab w:val="clear" w:pos="720"/>
          <w:tab w:val="left" w:pos="1800" w:leader="none"/>
          <w:tab w:val="right" w:pos="6480" w:leader="none"/>
        </w:tabs>
        <w:ind w:hanging="720" w:start="144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  <w:r>
        <w:br w:type="page"/>
      </w:r>
    </w:p>
    <w:p>
      <w:pPr>
        <w:pStyle w:val="Normal"/>
        <w:tabs>
          <w:tab w:val="clear" w:pos="720"/>
          <w:tab w:val="left" w:pos="1260" w:leader="none"/>
        </w:tabs>
        <w:spacing w:before="0" w:after="60"/>
        <w:ind w:end="-720"/>
        <w:jc w:val="center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Normal"/>
        <w:ind w:hanging="356" w:start="-274" w:end="0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Normal"/>
        <w:ind w:hanging="356" w:start="-274" w:end="0"/>
        <w:jc w:val="center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  <w:t>ANNEX A - SERVICE AND PRICING SCHEDULE</w:t>
      </w:r>
    </w:p>
    <w:p>
      <w:pPr>
        <w:pStyle w:val="Normal"/>
        <w:ind w:hanging="356" w:start="-274" w:end="0"/>
        <w:jc w:val="center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Normal"/>
        <w:ind w:hanging="356" w:start="-274" w:end="0"/>
        <w:jc w:val="center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  <w:t>OIL</w:t>
      </w:r>
    </w:p>
    <w:p>
      <w:pPr>
        <w:pStyle w:val="Normal"/>
        <w:ind w:hanging="356" w:start="-274" w:end="0"/>
        <w:jc w:val="center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Normal"/>
        <w:ind w:hanging="356" w:start="-274" w:end="0"/>
        <w:jc w:val="center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  <w:t>Effective August 2, 2000</w:t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Set forth below is the Schedule referred to in paragraph (2) of the Participant Agreement.  All charges incurred by Participant will be payable in accordance with the Participant Agreement.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/>
      </w:pPr>
      <w:r>
        <w:rPr>
          <w:rFonts w:cs="Arial" w:ascii="Arial" w:hAnsi="Arial"/>
          <w:sz w:val="22"/>
        </w:rPr>
        <w:t xml:space="preserve">I. </w:t>
        <w:tab/>
      </w:r>
      <w:r>
        <w:rPr>
          <w:rFonts w:cs="Arial" w:ascii="Arial" w:hAnsi="Arial"/>
          <w:sz w:val="22"/>
          <w:u w:val="single"/>
        </w:rPr>
        <w:t>User Fee (per simultaneous User)</w:t>
      </w:r>
    </w:p>
    <w:p>
      <w:pPr>
        <w:pStyle w:val="Normal"/>
        <w:rPr>
          <w:rFonts w:ascii="Arial" w:hAnsi="Arial" w:cs="Arial"/>
          <w:sz w:val="22"/>
          <w:u w:val="single"/>
        </w:rPr>
      </w:pPr>
      <w:r>
        <w:rPr>
          <w:rFonts w:cs="Arial" w:ascii="Arial" w:hAnsi="Arial"/>
          <w:sz w:val="22"/>
          <w:u w:val="single"/>
        </w:rPr>
      </w:r>
    </w:p>
    <w:p>
      <w:pPr>
        <w:pStyle w:val="Normal"/>
        <w:numPr>
          <w:ilvl w:val="2"/>
          <w:numId w:val="4"/>
        </w:numPr>
        <w:tabs>
          <w:tab w:val="clear" w:pos="720"/>
          <w:tab w:val="left" w:pos="1440" w:leader="none"/>
        </w:tabs>
        <w:ind w:hanging="360" w:start="144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$500 per User per month</w:t>
      </w:r>
    </w:p>
    <w:p>
      <w:pPr>
        <w:pStyle w:val="Normal"/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numPr>
          <w:ilvl w:val="2"/>
          <w:numId w:val="4"/>
        </w:numPr>
        <w:tabs>
          <w:tab w:val="clear" w:pos="720"/>
          <w:tab w:val="left" w:pos="1440" w:leader="none"/>
        </w:tabs>
        <w:ind w:hanging="360" w:start="144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Additional $1,000 per User per month surcharge for Singapore private network Users (not applicable to Internet Users)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start="108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Participant’s total monthly Transaction commissions for Oil apply toward Participant’s total monthly Oil User Fees. 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II.</w:t>
        <w:tab/>
      </w:r>
      <w:r>
        <w:rPr>
          <w:rFonts w:cs="Arial" w:ascii="Arial" w:hAnsi="Arial"/>
          <w:sz w:val="22"/>
          <w:u w:val="single"/>
        </w:rPr>
        <w:t>Commission Rates per Transaction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ab/>
      </w:r>
    </w:p>
    <w:p>
      <w:pPr>
        <w:pStyle w:val="Normal"/>
        <w:tabs>
          <w:tab w:val="clear" w:pos="720"/>
          <w:tab w:val="left" w:pos="1800" w:leader="none"/>
          <w:tab w:val="right" w:pos="6480" w:leader="none"/>
        </w:tabs>
        <w:ind w:hanging="720" w:start="21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>WTI and Brent</w:t>
        <w:tab/>
      </w:r>
    </w:p>
    <w:p>
      <w:pPr>
        <w:pStyle w:val="Normal"/>
        <w:tabs>
          <w:tab w:val="clear" w:pos="720"/>
          <w:tab w:val="left" w:pos="1800" w:leader="none"/>
          <w:tab w:val="right" w:pos="6480" w:leader="none"/>
        </w:tabs>
        <w:ind w:hanging="720" w:start="21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ab/>
        <w:t>Crude Oil Swaps</w:t>
        <w:tab/>
        <w:t>$0.0025 per barrel</w:t>
      </w:r>
    </w:p>
    <w:p>
      <w:pPr>
        <w:pStyle w:val="Normal"/>
        <w:tabs>
          <w:tab w:val="clear" w:pos="720"/>
          <w:tab w:val="left" w:pos="1800" w:leader="none"/>
          <w:tab w:val="right" w:pos="6480" w:leader="none"/>
        </w:tabs>
        <w:ind w:hanging="720" w:start="21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ab/>
        <w:t>Crude Oil Options</w:t>
        <w:tab/>
        <w:t>$0.0035 per barrel</w:t>
      </w:r>
    </w:p>
    <w:p>
      <w:pPr>
        <w:pStyle w:val="Normal"/>
        <w:tabs>
          <w:tab w:val="clear" w:pos="720"/>
          <w:tab w:val="left" w:pos="1800" w:leader="none"/>
          <w:tab w:val="right" w:pos="6480" w:leader="none"/>
        </w:tabs>
        <w:ind w:hanging="720" w:start="21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tabs>
          <w:tab w:val="clear" w:pos="720"/>
          <w:tab w:val="left" w:pos="1800" w:leader="none"/>
          <w:tab w:val="right" w:pos="6480" w:leader="none"/>
        </w:tabs>
        <w:ind w:hanging="720" w:start="21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>Tapis and Dubai</w:t>
      </w:r>
    </w:p>
    <w:p>
      <w:pPr>
        <w:pStyle w:val="Normal"/>
        <w:tabs>
          <w:tab w:val="clear" w:pos="720"/>
          <w:tab w:val="left" w:pos="1800" w:leader="none"/>
          <w:tab w:val="right" w:pos="6480" w:leader="none"/>
        </w:tabs>
        <w:ind w:hanging="720" w:start="21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ab/>
        <w:t>Crude Oil Swaps</w:t>
        <w:tab/>
        <w:t>$0.0040 per barrel</w:t>
      </w:r>
    </w:p>
    <w:p>
      <w:pPr>
        <w:pStyle w:val="Normal"/>
        <w:tabs>
          <w:tab w:val="clear" w:pos="720"/>
          <w:tab w:val="left" w:pos="1800" w:leader="none"/>
          <w:tab w:val="right" w:pos="6480" w:leader="none"/>
        </w:tabs>
        <w:ind w:hanging="720" w:start="21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ab/>
        <w:t>Crude Oil Options</w:t>
        <w:tab/>
        <w:t>$0.0035 per barrel</w:t>
      </w:r>
    </w:p>
    <w:p>
      <w:pPr>
        <w:pStyle w:val="Normal"/>
        <w:tabs>
          <w:tab w:val="clear" w:pos="720"/>
          <w:tab w:val="left" w:pos="1800" w:leader="none"/>
          <w:tab w:val="right" w:pos="6480" w:leader="none"/>
        </w:tabs>
        <w:ind w:hanging="720" w:start="21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tabs>
          <w:tab w:val="clear" w:pos="720"/>
          <w:tab w:val="left" w:pos="1800" w:leader="none"/>
          <w:tab w:val="right" w:pos="6480" w:leader="none"/>
        </w:tabs>
        <w:ind w:hanging="720" w:start="21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>Refined Product Swaps</w:t>
        <w:tab/>
        <w:t>$0.0050 per barrel*</w:t>
      </w:r>
    </w:p>
    <w:p>
      <w:pPr>
        <w:pStyle w:val="Normal"/>
        <w:tabs>
          <w:tab w:val="clear" w:pos="720"/>
          <w:tab w:val="left" w:pos="1800" w:leader="none"/>
          <w:tab w:val="right" w:pos="6480" w:leader="none"/>
        </w:tabs>
        <w:ind w:hanging="720" w:start="21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>Refined Product Options</w:t>
        <w:tab/>
        <w:t>$0.0035 per barrel*</w:t>
      </w:r>
    </w:p>
    <w:p>
      <w:pPr>
        <w:pStyle w:val="Normal"/>
        <w:tabs>
          <w:tab w:val="clear" w:pos="720"/>
          <w:tab w:val="left" w:pos="1800" w:leader="none"/>
          <w:tab w:val="right" w:pos="6480" w:leader="none"/>
        </w:tabs>
        <w:ind w:hanging="720" w:start="21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ab/>
        <w:tab/>
      </w:r>
    </w:p>
    <w:p>
      <w:pPr>
        <w:pStyle w:val="Normal"/>
        <w:tabs>
          <w:tab w:val="clear" w:pos="720"/>
          <w:tab w:val="left" w:pos="1800" w:leader="none"/>
          <w:tab w:val="right" w:pos="6480" w:leader="none"/>
        </w:tabs>
        <w:ind w:hanging="720" w:start="252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Discounts to above: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160" w:leader="none"/>
          <w:tab w:val="right" w:pos="6480" w:leader="none"/>
        </w:tabs>
        <w:ind w:hanging="360" w:start="21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No charge for one leg of a spread trade.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160" w:leader="none"/>
          <w:tab w:val="right" w:pos="6480" w:leader="none"/>
        </w:tabs>
        <w:ind w:hanging="360" w:start="21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No charge for a Swap transaction when traded as a hedge with an Option transaction. </w:t>
      </w:r>
    </w:p>
    <w:p>
      <w:pPr>
        <w:pStyle w:val="Normal"/>
        <w:tabs>
          <w:tab w:val="clear" w:pos="720"/>
          <w:tab w:val="left" w:pos="1800" w:leader="none"/>
          <w:tab w:val="right" w:pos="6480" w:leader="none"/>
        </w:tabs>
        <w:ind w:hanging="720" w:start="21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start="180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*  Barrel Equivalent Conversions Factors:</w:t>
      </w:r>
    </w:p>
    <w:p>
      <w:pPr>
        <w:pStyle w:val="Normal"/>
        <w:ind w:start="180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Fuel Oil</w:t>
        <w:tab/>
        <w:tab/>
        <w:t>6.35 barrels per metric tonne</w:t>
      </w:r>
    </w:p>
    <w:p>
      <w:pPr>
        <w:pStyle w:val="Normal"/>
        <w:ind w:start="180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Gasoil</w:t>
        <w:tab/>
        <w:tab/>
        <w:t>7.45 barrels per metric tonne</w:t>
      </w:r>
    </w:p>
    <w:p>
      <w:pPr>
        <w:pStyle w:val="Normal"/>
        <w:ind w:start="180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Jet Fuel</w:t>
        <w:tab/>
        <w:tab/>
        <w:t>7.88 barrels per metric tonne</w:t>
      </w:r>
    </w:p>
    <w:p>
      <w:pPr>
        <w:pStyle w:val="Normal"/>
        <w:ind w:start="180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Gasoline</w:t>
        <w:tab/>
        <w:tab/>
        <w:t>8.33 barrels per metric tonne</w:t>
      </w:r>
    </w:p>
    <w:p>
      <w:pPr>
        <w:pStyle w:val="Normal"/>
        <w:ind w:start="180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Naptha</w:t>
        <w:tab/>
        <w:tab/>
        <w:t>9.00 barrels per metric tonne</w:t>
      </w:r>
    </w:p>
    <w:p>
      <w:pPr>
        <w:pStyle w:val="Normal"/>
        <w:ind w:start="180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Any product measured in gallons</w:t>
        <w:tab/>
        <w:tab/>
        <w:t>42 gallons per barrel</w:t>
      </w:r>
    </w:p>
    <w:p>
      <w:pPr>
        <w:pStyle w:val="Normal"/>
        <w:tabs>
          <w:tab w:val="clear" w:pos="720"/>
          <w:tab w:val="left" w:pos="1260" w:leader="none"/>
        </w:tabs>
        <w:spacing w:before="0" w:after="60"/>
        <w:ind w:end="-720"/>
        <w:jc w:val="center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Normal"/>
        <w:ind w:hanging="356" w:start="-274" w:end="0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Normal"/>
        <w:ind w:hanging="356" w:start="-274" w:end="0"/>
        <w:jc w:val="center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  <w:t>ANNEX A - SERVICE AND PRICING SCHEDULE</w:t>
      </w:r>
    </w:p>
    <w:p>
      <w:pPr>
        <w:pStyle w:val="Normal"/>
        <w:ind w:hanging="356" w:start="-274" w:end="0"/>
        <w:jc w:val="center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Normal"/>
        <w:ind w:hanging="356" w:start="-274" w:end="0"/>
        <w:jc w:val="center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  <w:t>ELECTRIC POWER</w:t>
      </w:r>
    </w:p>
    <w:p>
      <w:pPr>
        <w:pStyle w:val="Normal"/>
        <w:ind w:hanging="356" w:start="-274" w:end="0"/>
        <w:jc w:val="center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Normal"/>
        <w:ind w:hanging="356" w:start="-274" w:end="0"/>
        <w:jc w:val="center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  <w:t>Effective October 2, 2000</w:t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Set forth below is the Schedule referred to in paragraph (2) of the Participant Agreement.  All charges incurred by Participant will be payable in accordance with the Participant Agreement.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/>
      </w:pPr>
      <w:r>
        <w:rPr>
          <w:rFonts w:cs="Arial" w:ascii="Arial" w:hAnsi="Arial"/>
          <w:sz w:val="22"/>
        </w:rPr>
        <w:t xml:space="preserve">I. </w:t>
        <w:tab/>
      </w:r>
      <w:r>
        <w:rPr>
          <w:rFonts w:cs="Arial" w:ascii="Arial" w:hAnsi="Arial"/>
          <w:sz w:val="22"/>
          <w:u w:val="single"/>
        </w:rPr>
        <w:t>User Fee (per simultaneous User)</w:t>
      </w:r>
    </w:p>
    <w:p>
      <w:pPr>
        <w:pStyle w:val="Normal"/>
        <w:rPr>
          <w:rFonts w:ascii="Arial" w:hAnsi="Arial" w:cs="Arial"/>
          <w:sz w:val="22"/>
          <w:u w:val="single"/>
        </w:rPr>
      </w:pPr>
      <w:r>
        <w:rPr>
          <w:rFonts w:cs="Arial" w:ascii="Arial" w:hAnsi="Arial"/>
          <w:sz w:val="22"/>
          <w:u w:val="single"/>
        </w:rPr>
      </w:r>
    </w:p>
    <w:p>
      <w:pPr>
        <w:pStyle w:val="Normal"/>
        <w:numPr>
          <w:ilvl w:val="2"/>
          <w:numId w:val="4"/>
        </w:numPr>
        <w:tabs>
          <w:tab w:val="clear" w:pos="720"/>
          <w:tab w:val="left" w:pos="1440" w:leader="none"/>
        </w:tabs>
        <w:ind w:hanging="360" w:start="144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$500 per User per month</w:t>
      </w:r>
    </w:p>
    <w:p>
      <w:pPr>
        <w:pStyle w:val="Normal"/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numPr>
          <w:ilvl w:val="2"/>
          <w:numId w:val="4"/>
        </w:numPr>
        <w:tabs>
          <w:tab w:val="clear" w:pos="720"/>
          <w:tab w:val="left" w:pos="1440" w:leader="none"/>
        </w:tabs>
        <w:ind w:hanging="360" w:start="144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Additional $1,000 per User per month surcharge for Singapore private network Users (not applicable to Internet Users)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start="108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Participant’s total monthly Transaction commissions for Electric Power apply toward Participant’s total monthly Electric Power User Fees. </w:t>
      </w:r>
    </w:p>
    <w:p>
      <w:pPr>
        <w:pStyle w:val="Normal"/>
        <w:rPr>
          <w:rFonts w:ascii="Arial" w:hAnsi="Arial" w:eastAsia="Arial" w:cs="Arial"/>
          <w:sz w:val="22"/>
        </w:rPr>
      </w:pPr>
      <w:r>
        <w:rPr>
          <w:rFonts w:eastAsia="Arial" w:cs="Arial" w:ascii="Arial" w:hAnsi="Arial"/>
          <w:sz w:val="22"/>
        </w:rPr>
        <w:t xml:space="preserve"> 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II.</w:t>
        <w:tab/>
      </w:r>
      <w:r>
        <w:rPr>
          <w:rFonts w:cs="Arial" w:ascii="Arial" w:hAnsi="Arial"/>
          <w:sz w:val="22"/>
          <w:u w:val="single"/>
        </w:rPr>
        <w:t>Commission Rates per Transaction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ab/>
      </w:r>
    </w:p>
    <w:p>
      <w:pPr>
        <w:pStyle w:val="Normal"/>
        <w:tabs>
          <w:tab w:val="clear" w:pos="720"/>
          <w:tab w:val="left" w:pos="1800" w:leader="none"/>
          <w:tab w:val="right" w:pos="7200" w:leader="none"/>
        </w:tabs>
        <w:ind w:hanging="720" w:start="21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>Firm Power</w:t>
      </w:r>
    </w:p>
    <w:p>
      <w:pPr>
        <w:pStyle w:val="Normal"/>
        <w:tabs>
          <w:tab w:val="clear" w:pos="720"/>
          <w:tab w:val="left" w:pos="1800" w:leader="none"/>
          <w:tab w:val="right" w:pos="7200" w:leader="none"/>
        </w:tabs>
        <w:ind w:hanging="720" w:start="21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ab/>
        <w:t>Forwards</w:t>
        <w:tab/>
        <w:t>$0.005 per mega-watt hour</w:t>
      </w:r>
    </w:p>
    <w:p>
      <w:pPr>
        <w:pStyle w:val="Normal"/>
        <w:tabs>
          <w:tab w:val="clear" w:pos="720"/>
          <w:tab w:val="left" w:pos="1800" w:leader="none"/>
          <w:tab w:val="right" w:pos="7200" w:leader="none"/>
        </w:tabs>
        <w:ind w:hanging="720" w:start="21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ab/>
        <w:t>Options</w:t>
        <w:tab/>
        <w:t>$0.005 per mega-watt hour</w:t>
      </w:r>
    </w:p>
    <w:p>
      <w:pPr>
        <w:pStyle w:val="Normal"/>
        <w:tabs>
          <w:tab w:val="clear" w:pos="720"/>
          <w:tab w:val="left" w:pos="1800" w:leader="none"/>
          <w:tab w:val="right" w:pos="7200" w:leader="none"/>
        </w:tabs>
        <w:ind w:hanging="720" w:start="21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tabs>
          <w:tab w:val="clear" w:pos="720"/>
          <w:tab w:val="left" w:pos="1800" w:leader="none"/>
          <w:tab w:val="right" w:pos="7200" w:leader="none"/>
        </w:tabs>
        <w:ind w:hanging="720" w:start="21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</w:r>
    </w:p>
    <w:p>
      <w:pPr>
        <w:pStyle w:val="Normal"/>
        <w:tabs>
          <w:tab w:val="clear" w:pos="720"/>
          <w:tab w:val="left" w:pos="1800" w:leader="none"/>
          <w:tab w:val="right" w:pos="6480" w:leader="none"/>
        </w:tabs>
        <w:ind w:hanging="720" w:start="252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Discounts to above:</w:t>
      </w:r>
    </w:p>
    <w:p>
      <w:pPr>
        <w:pStyle w:val="Normal"/>
        <w:numPr>
          <w:ilvl w:val="0"/>
          <w:numId w:val="5"/>
        </w:numPr>
        <w:tabs>
          <w:tab w:val="clear" w:pos="720"/>
          <w:tab w:val="right" w:pos="6480" w:leader="none"/>
        </w:tabs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No charge for one leg of a spread trade.</w:t>
      </w:r>
    </w:p>
    <w:p>
      <w:pPr>
        <w:pStyle w:val="Normal"/>
        <w:numPr>
          <w:ilvl w:val="0"/>
          <w:numId w:val="5"/>
        </w:numPr>
        <w:tabs>
          <w:tab w:val="clear" w:pos="720"/>
          <w:tab w:val="right" w:pos="6480" w:leader="none"/>
        </w:tabs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No charge for a Forward transaction when traded as a hedge with an Option transaction. </w:t>
      </w:r>
      <w:r>
        <w:br w:type="page"/>
      </w:r>
    </w:p>
    <w:p>
      <w:pPr>
        <w:pStyle w:val="Normal"/>
        <w:tabs>
          <w:tab w:val="clear" w:pos="720"/>
          <w:tab w:val="left" w:pos="1260" w:leader="none"/>
        </w:tabs>
        <w:spacing w:before="0" w:after="60"/>
        <w:ind w:end="-720"/>
        <w:jc w:val="center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Normal"/>
        <w:ind w:hanging="356" w:start="-274" w:end="0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Normal"/>
        <w:ind w:hanging="356" w:start="-274" w:end="0"/>
        <w:jc w:val="center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  <w:t>ANNEX A - SERVICE AND PRICING SCHEDULE</w:t>
      </w:r>
    </w:p>
    <w:p>
      <w:pPr>
        <w:pStyle w:val="Normal"/>
        <w:ind w:hanging="356" w:start="-274" w:end="0"/>
        <w:jc w:val="center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Normal"/>
        <w:ind w:hanging="356" w:start="-274" w:end="0"/>
        <w:jc w:val="center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  <w:t>NATURAL GAS</w:t>
      </w:r>
    </w:p>
    <w:p>
      <w:pPr>
        <w:pStyle w:val="Normal"/>
        <w:ind w:hanging="356" w:start="-274" w:end="0"/>
        <w:jc w:val="center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Normal"/>
        <w:ind w:hanging="356" w:start="-274" w:end="0"/>
        <w:jc w:val="center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  <w:t>Effective October 2, 2000</w:t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Set forth below is the Schedule referred to in paragraph (2) of the Participant Agreement.  All charges incurred by Participant will be payable in accordance with the Participant Agreement.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/>
      </w:pPr>
      <w:r>
        <w:rPr>
          <w:rFonts w:cs="Arial" w:ascii="Arial" w:hAnsi="Arial"/>
          <w:sz w:val="22"/>
        </w:rPr>
        <w:t xml:space="preserve">I. </w:t>
        <w:tab/>
      </w:r>
      <w:r>
        <w:rPr>
          <w:rFonts w:cs="Arial" w:ascii="Arial" w:hAnsi="Arial"/>
          <w:sz w:val="22"/>
          <w:u w:val="single"/>
        </w:rPr>
        <w:t>User Fee (per simultaneous User)</w:t>
      </w:r>
    </w:p>
    <w:p>
      <w:pPr>
        <w:pStyle w:val="Normal"/>
        <w:rPr>
          <w:rFonts w:ascii="Arial" w:hAnsi="Arial" w:cs="Arial"/>
          <w:sz w:val="22"/>
          <w:u w:val="single"/>
        </w:rPr>
      </w:pPr>
      <w:r>
        <w:rPr>
          <w:rFonts w:cs="Arial" w:ascii="Arial" w:hAnsi="Arial"/>
          <w:sz w:val="22"/>
          <w:u w:val="single"/>
        </w:rPr>
      </w:r>
    </w:p>
    <w:p>
      <w:pPr>
        <w:pStyle w:val="Normal"/>
        <w:numPr>
          <w:ilvl w:val="2"/>
          <w:numId w:val="4"/>
        </w:numPr>
        <w:tabs>
          <w:tab w:val="clear" w:pos="720"/>
          <w:tab w:val="left" w:pos="1440" w:leader="none"/>
        </w:tabs>
        <w:ind w:hanging="360" w:start="144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$500 per User per month</w:t>
      </w:r>
    </w:p>
    <w:p>
      <w:pPr>
        <w:pStyle w:val="Normal"/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numPr>
          <w:ilvl w:val="2"/>
          <w:numId w:val="4"/>
        </w:numPr>
        <w:tabs>
          <w:tab w:val="clear" w:pos="720"/>
          <w:tab w:val="left" w:pos="1440" w:leader="none"/>
        </w:tabs>
        <w:ind w:hanging="360" w:start="144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Additional $1,000 per User per month surcharge for Singapore private network Users (not applicable to Internet Users)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start="108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Participant’s total monthly Transaction commissions for Natural Gas apply toward Participant’s total monthly Natural Gas User Fees. </w:t>
      </w:r>
    </w:p>
    <w:p>
      <w:pPr>
        <w:pStyle w:val="Normal"/>
        <w:rPr>
          <w:rFonts w:ascii="Arial" w:hAnsi="Arial" w:eastAsia="Arial" w:cs="Arial"/>
          <w:sz w:val="22"/>
        </w:rPr>
      </w:pPr>
      <w:r>
        <w:rPr>
          <w:rFonts w:eastAsia="Arial" w:cs="Arial" w:ascii="Arial" w:hAnsi="Arial"/>
          <w:sz w:val="22"/>
        </w:rPr>
        <w:t xml:space="preserve"> 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II.</w:t>
        <w:tab/>
      </w:r>
      <w:r>
        <w:rPr>
          <w:rFonts w:cs="Arial" w:ascii="Arial" w:hAnsi="Arial"/>
          <w:sz w:val="22"/>
          <w:u w:val="single"/>
        </w:rPr>
        <w:t>Commission Rates per Transaction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ab/>
      </w:r>
    </w:p>
    <w:p>
      <w:pPr>
        <w:pStyle w:val="Normal"/>
        <w:tabs>
          <w:tab w:val="clear" w:pos="720"/>
          <w:tab w:val="left" w:pos="1800" w:leader="none"/>
          <w:tab w:val="right" w:pos="7200" w:leader="none"/>
        </w:tabs>
        <w:ind w:hanging="720" w:start="21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>Natural Gas</w:t>
      </w:r>
    </w:p>
    <w:p>
      <w:pPr>
        <w:pStyle w:val="Normal"/>
        <w:tabs>
          <w:tab w:val="clear" w:pos="720"/>
          <w:tab w:val="left" w:pos="1800" w:leader="none"/>
          <w:tab w:val="right" w:pos="7200" w:leader="none"/>
        </w:tabs>
        <w:ind w:hanging="720" w:start="21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ab/>
        <w:t>Physical</w:t>
        <w:tab/>
        <w:t>$0.00025 per mmBtu</w:t>
      </w:r>
    </w:p>
    <w:p>
      <w:pPr>
        <w:pStyle w:val="Normal"/>
        <w:tabs>
          <w:tab w:val="clear" w:pos="720"/>
          <w:tab w:val="left" w:pos="1800" w:leader="none"/>
          <w:tab w:val="right" w:pos="7200" w:leader="none"/>
        </w:tabs>
        <w:ind w:hanging="720" w:start="21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ab/>
        <w:t>Swaps</w:t>
        <w:tab/>
        <w:t>$0.00025 per mmBtu</w:t>
      </w:r>
    </w:p>
    <w:p>
      <w:pPr>
        <w:pStyle w:val="Normal"/>
        <w:tabs>
          <w:tab w:val="clear" w:pos="720"/>
          <w:tab w:val="left" w:pos="1800" w:leader="none"/>
          <w:tab w:val="right" w:pos="7200" w:leader="none"/>
        </w:tabs>
        <w:ind w:hanging="720" w:start="21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ab/>
        <w:t>Options</w:t>
        <w:tab/>
        <w:t>$0.00025 per mmBtu</w:t>
      </w:r>
    </w:p>
    <w:p>
      <w:pPr>
        <w:pStyle w:val="Normal"/>
        <w:tabs>
          <w:tab w:val="clear" w:pos="720"/>
          <w:tab w:val="left" w:pos="1800" w:leader="none"/>
          <w:tab w:val="right" w:pos="7200" w:leader="none"/>
        </w:tabs>
        <w:ind w:hanging="720" w:start="21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tabs>
          <w:tab w:val="clear" w:pos="720"/>
          <w:tab w:val="left" w:pos="1800" w:leader="none"/>
          <w:tab w:val="right" w:pos="7200" w:leader="none"/>
        </w:tabs>
        <w:ind w:hanging="720" w:start="21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ab/>
      </w:r>
    </w:p>
    <w:p>
      <w:pPr>
        <w:pStyle w:val="Normal"/>
        <w:tabs>
          <w:tab w:val="clear" w:pos="720"/>
          <w:tab w:val="left" w:pos="1800" w:leader="none"/>
          <w:tab w:val="right" w:pos="6480" w:leader="none"/>
        </w:tabs>
        <w:ind w:hanging="720" w:start="252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Discounts to above:</w:t>
      </w:r>
    </w:p>
    <w:p>
      <w:pPr>
        <w:pStyle w:val="Normal"/>
        <w:numPr>
          <w:ilvl w:val="0"/>
          <w:numId w:val="2"/>
        </w:numPr>
        <w:tabs>
          <w:tab w:val="clear" w:pos="720"/>
          <w:tab w:val="right" w:pos="6480" w:leader="none"/>
        </w:tabs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No charge for one leg of a spread trade.</w:t>
      </w:r>
    </w:p>
    <w:p>
      <w:pPr>
        <w:pStyle w:val="Normal"/>
        <w:numPr>
          <w:ilvl w:val="0"/>
          <w:numId w:val="2"/>
        </w:numPr>
        <w:tabs>
          <w:tab w:val="clear" w:pos="720"/>
          <w:tab w:val="right" w:pos="6480" w:leader="none"/>
        </w:tabs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No charge for a Swap transaction when traded as a hedge with an Option transaction. </w:t>
      </w:r>
    </w:p>
    <w:p>
      <w:pPr>
        <w:pStyle w:val="Normal"/>
        <w:tabs>
          <w:tab w:val="clear" w:pos="720"/>
          <w:tab w:val="right" w:pos="6480" w:leader="none"/>
        </w:tabs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tabs>
          <w:tab w:val="clear" w:pos="720"/>
          <w:tab w:val="right" w:pos="6480" w:leader="none"/>
        </w:tabs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start="180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1152" w:top="1710" w:footer="864" w:bottom="9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SG LucidaT">
    <w:charset w:val="00" w:characterSet="windows-1252"/>
    <w:family w:val="auto"/>
    <w:pitch w:val="default"/>
  </w:font>
  <w:font w:name="Courier New">
    <w:charset w:val="00" w:characterSet="windows-1252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8640"/>
        <w:tab w:val="center" w:pos="4320" w:leader="none"/>
        <w:tab w:val="right" w:pos="10080" w:leader="none"/>
      </w:tabs>
      <w:ind w:end="-720"/>
      <w:rPr>
        <w:rFonts w:ascii="Arial" w:hAnsi="Arial" w:cs="Arial"/>
        <w:sz w:val="18"/>
      </w:rPr>
    </w:pPr>
    <w:r>
      <w:rPr>
        <w:rFonts w:cs="Arial" w:ascii="Arial" w:hAnsi="Arial"/>
        <w:sz w:val="18"/>
      </w:rPr>
      <w:tab/>
      <w:tab/>
    </w:r>
  </w:p>
  <w:p>
    <w:pPr>
      <w:pStyle w:val="Footer"/>
      <w:rPr>
        <w:rFonts w:ascii="Arial" w:hAnsi="Arial" w:cs="Arial"/>
        <w:sz w:val="18"/>
      </w:rPr>
    </w:pPr>
    <w:r>
      <w:rPr>
        <w:rFonts w:cs="Arial" w:ascii="Arial" w:hAnsi="Arial"/>
        <w:sz w:val="1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8640"/>
        <w:tab w:val="center" w:pos="4320" w:leader="none"/>
        <w:tab w:val="right" w:pos="9360" w:leader="none"/>
      </w:tabs>
      <w:rPr/>
    </w:pPr>
    <w:r>
      <w:rPr>
        <w:rFonts w:cs="Arial" w:ascii="Arial" w:hAnsi="Arial"/>
        <w:b/>
        <w:sz w:val="22"/>
      </w:rPr>
      <w:t>IntercontinentalExchange</w:t>
      <w:tab/>
      <w:tab/>
    </w:r>
    <w:r>
      <w:rPr>
        <w:rFonts w:cs="Arial" w:ascii="Arial" w:hAnsi="Arial"/>
        <w:b/>
        <w:sz w:val="20"/>
      </w:rPr>
      <w:t>Confidential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2160"/>
        </w:tabs>
        <w:ind w:start="2160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1800"/>
        </w:tabs>
        <w:ind w:start="1800" w:hanging="360"/>
      </w:p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2160"/>
        </w:tabs>
        <w:ind w:start="2160" w:hanging="360"/>
      </w:pPr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2160"/>
        </w:tabs>
        <w:ind w:start="216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b/>
      <w:kern w:val="2"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  <w:sz w:val="24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24"/>
    </w:rPr>
  </w:style>
  <w:style w:type="character" w:styleId="WW8Num6z1">
    <w:name w:val="WW8Num6z1"/>
    <w:qFormat/>
    <w:rPr>
      <w:b w:val="false"/>
      <w:i w:val="false"/>
      <w:u w:val="none"/>
    </w:rPr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2z0">
    <w:name w:val="WW8Num12z0"/>
    <w:qFormat/>
    <w:rPr/>
  </w:style>
  <w:style w:type="character" w:styleId="WW8Num16z0">
    <w:name w:val="WW8Num16z0"/>
    <w:qFormat/>
    <w:rPr/>
  </w:style>
  <w:style w:type="character" w:styleId="WW8Num18z0">
    <w:name w:val="WW8Num18z0"/>
    <w:qFormat/>
    <w:rPr/>
  </w:style>
  <w:style w:type="character" w:styleId="WW8Num25z0">
    <w:name w:val="WW8Num25z0"/>
    <w:qFormat/>
    <w:rPr/>
  </w:style>
  <w:style w:type="character" w:styleId="WW8Num28z0">
    <w:name w:val="WW8Num28z0"/>
    <w:qFormat/>
    <w:rPr>
      <w:rFonts w:ascii="Symbol" w:hAnsi="Symbol" w:cs="Symbol"/>
    </w:rPr>
  </w:style>
  <w:style w:type="character" w:styleId="WW8Num28z1">
    <w:name w:val="WW8Num28z1"/>
    <w:qFormat/>
    <w:rPr>
      <w:rFonts w:ascii="Courier New" w:hAnsi="Courier New" w:cs="Courier New"/>
    </w:rPr>
  </w:style>
  <w:style w:type="character" w:styleId="WW8Num28z2">
    <w:name w:val="WW8Num28z2"/>
    <w:qFormat/>
    <w:rPr>
      <w:rFonts w:ascii="Wingdings" w:hAnsi="Wingdings" w:cs="Wingdings"/>
    </w:rPr>
  </w:style>
  <w:style w:type="character" w:styleId="WW8Num31z0">
    <w:name w:val="WW8Num31z0"/>
    <w:qFormat/>
    <w:rPr/>
  </w:style>
  <w:style w:type="character" w:styleId="WW8Num35z0">
    <w:name w:val="WW8Num35z0"/>
    <w:qFormat/>
    <w:rPr/>
  </w:style>
  <w:style w:type="character" w:styleId="WW8Num36z0">
    <w:name w:val="WW8Num36z0"/>
    <w:qFormat/>
    <w:rPr/>
  </w:style>
  <w:style w:type="character" w:styleId="WW8Num37z0">
    <w:name w:val="WW8Num37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120"/>
    </w:pPr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5J">
    <w:name w:val="!Body Text .5(J)"/>
    <w:basedOn w:val="Normal"/>
    <w:qFormat/>
    <w:pPr>
      <w:spacing w:before="0" w:after="240"/>
      <w:ind w:firstLine="720" w:start="0" w:end="0"/>
      <w:jc w:val="both"/>
    </w:pPr>
    <w:rPr/>
  </w:style>
  <w:style w:type="paragraph" w:styleId="BodyText5LA">
    <w:name w:val="!Body Text .5(LA)"/>
    <w:basedOn w:val="BodyText5J"/>
    <w:qFormat/>
    <w:pPr>
      <w:jc w:val="start"/>
    </w:pPr>
    <w:rPr/>
  </w:style>
  <w:style w:type="paragraph" w:styleId="BodyText1J">
    <w:name w:val="!Body Text 1(J)"/>
    <w:basedOn w:val="Normal"/>
    <w:qFormat/>
    <w:pPr>
      <w:spacing w:before="0" w:after="240"/>
      <w:ind w:firstLine="1440" w:start="0" w:end="0"/>
      <w:jc w:val="both"/>
    </w:pPr>
    <w:rPr/>
  </w:style>
  <w:style w:type="paragraph" w:styleId="BodyText1LA">
    <w:name w:val="!Body Text 1(LA)"/>
    <w:basedOn w:val="BodyText1J"/>
    <w:qFormat/>
    <w:pPr>
      <w:jc w:val="start"/>
    </w:pPr>
    <w:rPr/>
  </w:style>
  <w:style w:type="paragraph" w:styleId="BodyTextJ">
    <w:name w:val="!Body Text(J)"/>
    <w:basedOn w:val="Normal"/>
    <w:qFormat/>
    <w:pPr>
      <w:spacing w:before="0" w:after="240"/>
      <w:jc w:val="both"/>
    </w:pPr>
    <w:rPr/>
  </w:style>
  <w:style w:type="paragraph" w:styleId="BodyTextLA">
    <w:name w:val="!Body Text(LA)"/>
    <w:basedOn w:val="BodyTextJ"/>
    <w:qFormat/>
    <w:pPr>
      <w:jc w:val="start"/>
    </w:pPr>
    <w:rPr/>
  </w:style>
  <w:style w:type="paragraph" w:styleId="Date">
    <w:name w:val="!Date"/>
    <w:basedOn w:val="Normal"/>
    <w:qFormat/>
    <w:pPr>
      <w:keepNext w:val="true"/>
      <w:spacing w:before="0" w:after="480"/>
      <w:ind w:hanging="0" w:start="6480" w:end="0"/>
    </w:pPr>
    <w:rPr/>
  </w:style>
  <w:style w:type="paragraph" w:styleId="IndentedQuote">
    <w:name w:val="!Indented Quote"/>
    <w:basedOn w:val="Normal"/>
    <w:qFormat/>
    <w:pPr>
      <w:spacing w:before="0" w:after="240"/>
      <w:ind w:hanging="0" w:start="1440" w:end="1440"/>
    </w:pPr>
    <w:rPr/>
  </w:style>
  <w:style w:type="paragraph" w:styleId="ReLine">
    <w:name w:val="!Re Line"/>
    <w:basedOn w:val="BodyTextJ"/>
    <w:qFormat/>
    <w:pPr>
      <w:ind w:hanging="720" w:start="2160" w:end="2160"/>
      <w:jc w:val="start"/>
    </w:pPr>
    <w:rPr/>
  </w:style>
  <w:style w:type="paragraph" w:styleId="SignatureLA">
    <w:name w:val="!Signature(LA)"/>
    <w:basedOn w:val="Normal"/>
    <w:qFormat/>
    <w:pPr>
      <w:keepLines/>
      <w:tabs>
        <w:tab w:val="clear" w:pos="720"/>
        <w:tab w:val="right" w:pos="2880" w:leader="none"/>
      </w:tabs>
      <w:spacing w:before="720" w:after="0"/>
      <w:ind w:hanging="547" w:start="540" w:end="0"/>
    </w:pPr>
    <w:rPr/>
  </w:style>
  <w:style w:type="paragraph" w:styleId="Signature">
    <w:name w:val="!Signature"/>
    <w:basedOn w:val="Normal"/>
    <w:qFormat/>
    <w:pPr>
      <w:keepLines/>
      <w:tabs>
        <w:tab w:val="clear" w:pos="720"/>
        <w:tab w:val="right" w:pos="8640" w:leader="none"/>
      </w:tabs>
      <w:spacing w:before="720" w:after="0"/>
      <w:ind w:hanging="547" w:start="4867" w:end="0"/>
    </w:pPr>
    <w:rPr/>
  </w:style>
  <w:style w:type="paragraph" w:styleId="Title">
    <w:name w:val="!Title"/>
    <w:basedOn w:val="Normal"/>
    <w:qFormat/>
    <w:pPr>
      <w:keepNext w:val="true"/>
      <w:keepLines/>
      <w:spacing w:before="120" w:after="240"/>
      <w:jc w:val="center"/>
    </w:pPr>
    <w:rPr/>
  </w:style>
  <w:style w:type="paragraph" w:styleId="TitleB">
    <w:name w:val="!Title(B)"/>
    <w:basedOn w:val="Title"/>
    <w:qFormat/>
    <w:pPr/>
    <w:rPr>
      <w:b/>
      <w:caps/>
    </w:rPr>
  </w:style>
  <w:style w:type="paragraph" w:styleId="BodyTextFirstIndent">
    <w:name w:val="Body Text First Indent"/>
    <w:basedOn w:val="BodyText"/>
    <w:qFormat/>
    <w:pPr>
      <w:ind w:firstLine="210" w:start="0" w:end="0"/>
    </w:pPr>
    <w:rPr/>
  </w:style>
  <w:style w:type="paragraph" w:styleId="FootnoteText">
    <w:name w:val="footnote text"/>
    <w:basedOn w:val="Normal"/>
    <w:pPr>
      <w:ind w:hanging="720" w:start="720" w:end="0"/>
    </w:pPr>
    <w:rPr/>
  </w:style>
  <w:style w:type="paragraph" w:styleId="PlainText">
    <w:name w:val="Plain Text"/>
    <w:basedOn w:val="Normal"/>
    <w:qFormat/>
    <w:pPr/>
    <w:rPr>
      <w:rFonts w:ascii="Courier New" w:hAnsi="Courier New" w:cs="Courier New"/>
      <w:sz w:val="20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akei">
    <w:name w:val="fake (i)"/>
    <w:basedOn w:val="Normal"/>
    <w:qFormat/>
    <w:pPr>
      <w:suppressAutoHyphens w:val="true"/>
      <w:spacing w:before="0" w:after="240"/>
      <w:ind w:hanging="720" w:start="2160" w:end="0"/>
    </w:pPr>
    <w:rPr>
      <w:rFonts w:ascii="SG LucidaT" w:hAnsi="SG LucidaT" w:cs="SG LucidaT"/>
      <w:sz w:val="22"/>
    </w:rPr>
  </w:style>
  <w:style w:type="paragraph" w:styleId="BodyTextIndent">
    <w:name w:val="Body Text Indent"/>
    <w:basedOn w:val="Normal"/>
    <w:pPr>
      <w:widowControl w:val="false"/>
      <w:spacing w:before="100" w:after="100"/>
      <w:ind w:firstLine="1440" w:start="0" w:end="0"/>
      <w:jc w:val="both"/>
    </w:pPr>
    <w:rPr>
      <w:sz w:val="18"/>
      <w:lang w:val="en-AU"/>
    </w:rPr>
  </w:style>
  <w:style w:type="paragraph" w:styleId="BodyTextIndent2">
    <w:name w:val="Body Text Indent 2"/>
    <w:basedOn w:val="Normal"/>
    <w:qFormat/>
    <w:pPr>
      <w:tabs>
        <w:tab w:val="clear" w:pos="720"/>
        <w:tab w:val="left" w:pos="0" w:leader="none"/>
      </w:tabs>
      <w:spacing w:before="0" w:after="240"/>
      <w:ind w:hanging="0" w:start="720" w:end="0"/>
      <w:jc w:val="both"/>
    </w:pPr>
    <w:rPr>
      <w:rFonts w:ascii="Arial" w:hAnsi="Arial" w:cs="Arial"/>
      <w:sz w:val="22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2000-06-22T09:45:00Z</dcterms:created>
  <dc:creator>For Help Call PC Support, x4277</dc:creator>
  <dc:description/>
  <dc:language>en-CA</dc:language>
  <cp:lastModifiedBy>cvice</cp:lastModifiedBy>
  <cp:lastPrinted>2000-07-12T19:27:00Z</cp:lastPrinted>
  <dcterms:modified xsi:type="dcterms:W3CDTF">2000-10-03T15:30:00Z</dcterms:modified>
  <cp:revision>20</cp:revision>
  <dc:subject/>
  <dc:title>NA Version 2 - November 27, 1999</dc:title>
</cp:coreProperties>
</file>