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Alan Aronowitz</w:t>
            </w:r>
          </w:p>
          <w:p>
            <w:pPr>
              <w:pStyle w:val="Normal"/>
              <w:jc w:val="both"/>
              <w:rPr/>
            </w:pPr>
            <w:r>
              <w:rPr/>
              <w:t>Elizabeth Sager</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July 19, 1999</w:t>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t>EB 3847 / Ext. 3-6121</w:t>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Transactions with Service Companies</w:t>
            </w:r>
          </w:p>
        </w:tc>
      </w:tr>
    </w:tbl>
    <w:p>
      <w:pPr>
        <w:pStyle w:val="Normal"/>
        <w:pBdr>
          <w:bottom w:val="double" w:sz="12" w:space="1" w:color="000000"/>
        </w:pBdr>
        <w:rPr>
          <w:sz w:val="12"/>
        </w:rPr>
      </w:pPr>
      <w:r>
        <w:rPr>
          <w:sz w:val="12"/>
        </w:rPr>
      </w:r>
    </w:p>
    <w:p>
      <w:pPr>
        <w:pStyle w:val="Normal"/>
        <w:rPr>
          <w:sz w:val="12"/>
        </w:rPr>
      </w:pPr>
      <w:r>
        <w:rPr>
          <w:sz w:val="12"/>
        </w:rPr>
      </w:r>
    </w:p>
    <w:p>
      <w:pPr>
        <w:pStyle w:val="Normal"/>
        <w:jc w:val="both"/>
        <w:rPr/>
      </w:pPr>
      <w:r>
        <w:rPr/>
        <w:tab/>
        <w:t>Enron Power Marketing, Inc. (“EPMI”) and Enron Capital &amp; Trade Resources Corp. (“ECT”) currently trade with numerous service companies (each individually a “Service Company” and collectively, the “Service Companies”), each of which acts as agent for multiple utility operating companies organized under a registered holding company structure.  Outside counsel has prepared a memorandum (the “LeBoeuf Memo”) that outlines the general principals of agency law implicated by the registered holding company structure and that sets forth a number of general recommendations for trading with such Service Companies.  After reviewing the LeBoeuf Memo, Alan and I met with Tanya Rohauer and Tracy Ngo to discuss Enron’s current relationship with the Service Companies and the implementation of a uniform protocol for trading with the Service Companies.  The purpose of this memorandum is to outline the protocol to be followed by EPMI and ECT when trading with a Service Company.</w:t>
      </w:r>
    </w:p>
    <w:p>
      <w:pPr>
        <w:pStyle w:val="Normal"/>
        <w:jc w:val="both"/>
        <w:rPr/>
      </w:pPr>
      <w:r>
        <w:rPr/>
      </w:r>
    </w:p>
    <w:p>
      <w:pPr>
        <w:pStyle w:val="Normal"/>
        <w:ind w:firstLine="720" w:end="0"/>
        <w:jc w:val="both"/>
        <w:rPr/>
      </w:pPr>
      <w:r>
        <w:rPr/>
        <w:t xml:space="preserve">In order to ensure that the legal departments of EPMI and ECT deal with each Service Company with consistency and uniformity, I recommend the implementation of a three-step procedure:  (1) identification of the current trading and contractual relationship with the Service Company; (2) due diligence to confirm the authority of the Service Company to act as agent on behalf of the operating utilities; and (3) preparation of a set of drafting guidelines to be incorporated into the master agreement, confirmation or other agreement governing our relationship with a Service Company.  Each step of this procedure should involve coordination with the credit department. </w:t>
      </w:r>
    </w:p>
    <w:p>
      <w:pPr>
        <w:pStyle w:val="Normal"/>
        <w:ind w:firstLine="720" w:end="0"/>
        <w:jc w:val="both"/>
        <w:rPr/>
      </w:pPr>
      <w:r>
        <w:rPr/>
      </w:r>
    </w:p>
    <w:p>
      <w:pPr>
        <w:pStyle w:val="BodyTextIndent"/>
        <w:tabs>
          <w:tab w:val="left" w:pos="720" w:leader="none"/>
        </w:tabs>
        <w:ind w:hanging="0" w:end="0"/>
        <w:rPr/>
      </w:pPr>
      <w:r>
        <w:rPr>
          <w:i/>
        </w:rPr>
        <w:t>I.</w:t>
        <w:tab/>
        <w:t>Identification of the current trading and contractual relationship with the Service Company</w:t>
      </w:r>
      <w:r>
        <w:rPr/>
        <w:t>.  As the first step in evaluating our relationship with a Service Company, we need to know how and what we are currently trading with such entity.  In order to faciliate this process, Tanya and Tracy will work with Genia Fitzgerald and Rhonda Denton to establish a Service Company data base. The purpose of the data base will be threefold:  (i) to identify each Service Company, the registered holding company, the operating utilities for whom the Service Company is acting (and whether and to what extent the Service Company also purchases on its own behalf) and the commodities traded; (ii) to track EPMI’s and ECT’s current contractual relationship with each Service Company; and (iii) to track the due diligence that has been conducted to confirm the authority of each Service Company to act on behalf of the operating utilities.  Once we have determined our current relationship with the Service Company, we can identify what needs to be done to improve the relationship.  This database will also help to ensure that EPMI and ECT follow a consistent approach when dealing with a particular Service Company.</w:t>
      </w:r>
    </w:p>
    <w:p>
      <w:pPr>
        <w:pStyle w:val="BodyTextIndent"/>
        <w:rPr/>
      </w:pPr>
      <w:r>
        <w:rPr/>
      </w:r>
    </w:p>
    <w:p>
      <w:pPr>
        <w:pStyle w:val="BodyTextIndent"/>
        <w:tabs>
          <w:tab w:val="left" w:pos="720" w:leader="none"/>
        </w:tabs>
        <w:ind w:hanging="0" w:end="0"/>
        <w:rPr/>
      </w:pPr>
      <w:r>
        <w:rPr>
          <w:i/>
        </w:rPr>
        <w:t>II.</w:t>
        <w:tab/>
        <w:t xml:space="preserve">Due diligence to confirm the authority of the Service Company to act as agent on behalf of the operating utilities.  </w:t>
      </w:r>
      <w:r>
        <w:rPr/>
        <w:t>When trading with a Service Company that is part of a registered holding company system and acting as agent on behalf of one or more operating utilities, the following due diligence should be conducted, prior to the commencement of trading if possible.</w:t>
      </w:r>
    </w:p>
    <w:p>
      <w:pPr>
        <w:pStyle w:val="Normal"/>
        <w:ind w:firstLine="720" w:end="0"/>
        <w:jc w:val="both"/>
        <w:rPr/>
      </w:pPr>
      <w:r>
        <w:rPr/>
      </w:r>
    </w:p>
    <w:p>
      <w:pPr>
        <w:pStyle w:val="Normal"/>
        <w:numPr>
          <w:ilvl w:val="0"/>
          <w:numId w:val="5"/>
        </w:numPr>
        <w:jc w:val="both"/>
        <w:rPr/>
      </w:pPr>
      <w:r>
        <w:rPr/>
        <w:t>Confirm that the the Securities and Exchange Commission (the “SEC”) and the applicable state public utility commisions have authorized the Service Company to act as agent for the operating utilities.</w:t>
      </w:r>
    </w:p>
    <w:p>
      <w:pPr>
        <w:pStyle w:val="Normal"/>
        <w:ind w:start="720" w:end="0"/>
        <w:jc w:val="both"/>
        <w:rPr/>
      </w:pPr>
      <w:r>
        <w:rPr/>
      </w:r>
    </w:p>
    <w:p>
      <w:pPr>
        <w:pStyle w:val="Normal"/>
        <w:numPr>
          <w:ilvl w:val="0"/>
          <w:numId w:val="4"/>
        </w:numPr>
        <w:jc w:val="both"/>
        <w:rPr/>
      </w:pPr>
      <w:r>
        <w:rPr/>
        <w:t xml:space="preserve">Obtain and review a copy of the application for approval (as amended, if applicable) filed by the registered holding company with the SEC (usually on Form U-13-1) via the Internet at </w:t>
      </w:r>
      <w:hyperlink r:id="rId3">
        <w:r>
          <w:rPr>
            <w:rStyle w:val="Hyperlink"/>
          </w:rPr>
          <w:t>www.freeedgar.com</w:t>
        </w:r>
      </w:hyperlink>
      <w:r>
        <w:rPr/>
        <w:t>.  This application will contain a copy of the proposed form of services agreement pursuant to which the Service Company will act as agent for the operating utilities.</w:t>
      </w:r>
    </w:p>
    <w:p>
      <w:pPr>
        <w:pStyle w:val="Normal"/>
        <w:ind w:start="1440" w:end="0"/>
        <w:jc w:val="both"/>
        <w:rPr/>
      </w:pPr>
      <w:r>
        <w:rPr/>
      </w:r>
    </w:p>
    <w:p>
      <w:pPr>
        <w:pStyle w:val="Normal"/>
        <w:numPr>
          <w:ilvl w:val="0"/>
          <w:numId w:val="4"/>
        </w:numPr>
        <w:jc w:val="both"/>
        <w:rPr/>
      </w:pPr>
      <w:r>
        <w:rPr/>
        <w:t>Obtain and review a copy of the SEC release approving the application for approval via Westlaw or Lexis.</w:t>
      </w:r>
    </w:p>
    <w:p>
      <w:pPr>
        <w:pStyle w:val="Normal"/>
        <w:jc w:val="both"/>
        <w:rPr/>
      </w:pPr>
      <w:r>
        <w:rPr/>
      </w:r>
    </w:p>
    <w:p>
      <w:pPr>
        <w:pStyle w:val="Normal"/>
        <w:numPr>
          <w:ilvl w:val="0"/>
          <w:numId w:val="4"/>
        </w:numPr>
        <w:tabs>
          <w:tab w:val="clear" w:pos="720"/>
          <w:tab w:val="left" w:pos="1440" w:leader="none"/>
          <w:tab w:val="left" w:pos="1800" w:leader="none"/>
        </w:tabs>
        <w:jc w:val="both"/>
        <w:rPr/>
      </w:pPr>
      <w:r>
        <w:rPr/>
        <w:t>Obtain and review any orders of the state public utility commissions with jurisdiction over the respective utilities to ensure that the Service Company is authorized to act on the operating utilitiy’s behalf.  (These orders will probably be filed as exhibits to the application for approval obtained in (1) above;  if not, copies of such orders can be obtained via Westlaw or Lexis.</w:t>
      </w:r>
    </w:p>
    <w:p>
      <w:pPr>
        <w:pStyle w:val="Normal"/>
        <w:jc w:val="both"/>
        <w:rPr/>
      </w:pPr>
      <w:r>
        <w:rPr/>
      </w:r>
    </w:p>
    <w:p>
      <w:pPr>
        <w:pStyle w:val="Normal"/>
        <w:numPr>
          <w:ilvl w:val="0"/>
          <w:numId w:val="4"/>
        </w:numPr>
        <w:tabs>
          <w:tab w:val="clear" w:pos="720"/>
          <w:tab w:val="left" w:pos="1440" w:leader="none"/>
          <w:tab w:val="left" w:pos="1800" w:leader="none"/>
        </w:tabs>
        <w:jc w:val="both"/>
        <w:rPr/>
      </w:pPr>
      <w:r>
        <w:rPr/>
        <w:t>Review the Services Agreement (often entitled a General Services Agreement) attached to the application for approval, as approved by the SEC, to ensure that the Service Company has authority to act as procurement agent for the operating utilities with respect to the commodity or commodities to be traded.</w:t>
      </w:r>
    </w:p>
    <w:p>
      <w:pPr>
        <w:pStyle w:val="Normal"/>
        <w:ind w:start="1440" w:end="0"/>
        <w:jc w:val="both"/>
        <w:rPr/>
      </w:pPr>
      <w:r>
        <w:rPr/>
      </w:r>
    </w:p>
    <w:p>
      <w:pPr>
        <w:pStyle w:val="Normal"/>
        <w:numPr>
          <w:ilvl w:val="0"/>
          <w:numId w:val="7"/>
        </w:numPr>
        <w:jc w:val="both"/>
        <w:rPr/>
      </w:pPr>
      <w:r>
        <w:rPr/>
        <w:t>Determine whether the parent registered holding company or any of the operating utilities is authorized to guarantee the obligations of the Service Company.</w:t>
      </w:r>
    </w:p>
    <w:p>
      <w:pPr>
        <w:pStyle w:val="Normal"/>
        <w:ind w:start="720" w:end="0"/>
        <w:jc w:val="both"/>
        <w:rPr/>
      </w:pPr>
      <w:r>
        <w:rPr/>
        <w:t xml:space="preserve"> </w:t>
      </w:r>
    </w:p>
    <w:p>
      <w:pPr>
        <w:pStyle w:val="Normal"/>
        <w:numPr>
          <w:ilvl w:val="0"/>
          <w:numId w:val="3"/>
        </w:numPr>
        <w:jc w:val="both"/>
        <w:rPr/>
      </w:pPr>
      <w:r>
        <w:rPr/>
        <w:t xml:space="preserve">Obtain and review the SEC financing orders relating to the authority of the registered holding company and/or operating utilities to make intrasystem guarantees.  These orders should be part of the search results obtained pursuant to A(2) above.  </w:t>
      </w:r>
    </w:p>
    <w:p>
      <w:pPr>
        <w:pStyle w:val="Normal"/>
        <w:ind w:start="1440" w:end="0"/>
        <w:jc w:val="both"/>
        <w:rPr/>
      </w:pPr>
      <w:r>
        <w:rPr/>
      </w:r>
    </w:p>
    <w:p>
      <w:pPr>
        <w:pStyle w:val="Normal"/>
        <w:numPr>
          <w:ilvl w:val="0"/>
          <w:numId w:val="3"/>
        </w:numPr>
        <w:jc w:val="both"/>
        <w:rPr/>
      </w:pPr>
      <w:r>
        <w:rPr/>
        <w:t xml:space="preserve">Determine whether the registered holding company has sufficient headroom under the applicable financing order to provide the guarantee. </w:t>
      </w:r>
    </w:p>
    <w:p>
      <w:pPr>
        <w:pStyle w:val="Normal"/>
        <w:jc w:val="both"/>
        <w:rPr/>
      </w:pPr>
      <w:r>
        <w:rPr/>
      </w:r>
    </w:p>
    <w:p>
      <w:pPr>
        <w:pStyle w:val="Normal"/>
        <w:numPr>
          <w:ilvl w:val="0"/>
          <w:numId w:val="2"/>
        </w:numPr>
        <w:tabs>
          <w:tab w:val="left" w:pos="720" w:leader="none"/>
        </w:tabs>
        <w:ind w:hanging="720" w:start="720" w:end="0"/>
        <w:jc w:val="both"/>
        <w:rPr/>
      </w:pPr>
      <w:r>
        <w:rPr>
          <w:i/>
        </w:rPr>
        <w:t>Preparation of a set of drafting guidelines to be incorporated into the master agreement, confirmation or other agreement governing our relationship with a Service.</w:t>
      </w:r>
      <w:r>
        <w:rPr/>
        <w:t xml:space="preserve">  Where possible, EPMI and/or ECT should enter into a master agreement with the Service Company that clearly sets forth that the Service Company is acting on behalf of and for the benefit of the named operating utilities.  In the absence of a master agreement, the form of confirmation or other documentation entered into by the parties should clearly recite that the Service Company is acting on behalf of and for the benefit of the named operating utilities.</w:t>
      </w:r>
    </w:p>
    <w:p>
      <w:pPr>
        <w:pStyle w:val="Normal"/>
        <w:ind w:start="720" w:end="0"/>
        <w:jc w:val="both"/>
        <w:rPr/>
      </w:pPr>
      <w:r>
        <w:rPr/>
      </w:r>
    </w:p>
    <w:p>
      <w:pPr>
        <w:pStyle w:val="BodyTextIndent3"/>
        <w:tabs>
          <w:tab w:val="clear" w:pos="1440"/>
          <w:tab w:val="left" w:pos="720" w:leader="none"/>
        </w:tabs>
        <w:ind w:start="720" w:end="0"/>
        <w:rPr/>
      </w:pPr>
      <w:r>
        <w:rPr/>
        <w:tab/>
        <w:tab/>
        <w:t xml:space="preserve">The remaining drafting recommendations set forth below should be considered with respect to each Service Company.  I discussed the LeBoeuf Memo with John Maas in some detail, and he advised that although the Restatement leaves room for uncertainty regarding the ability of an agent to bind multiple principles, he feels confident that where a Service Company is acting on behalf of operating utilities pursuant to a services agreement on file with the SEC, the operating utilities will be bound by the acts of the Service Company within the scope of such service agreement, especially where the Service Company and the Operating Utilities are affiliates of the same parent holding company.  Accordingly, the following drafting recommendations should be considered and implemented only to the extent commercially practicable, with particular attention  given to these recommendations in circumstances where EPMI or ECT has significant exposure and/or is not comfortable with the credit of one or more of the operating utilities.  </w:t>
      </w:r>
    </w:p>
    <w:p>
      <w:pPr>
        <w:pStyle w:val="BodyTextIndent3"/>
        <w:tabs>
          <w:tab w:val="clear" w:pos="1440"/>
          <w:tab w:val="left" w:pos="720" w:leader="none"/>
        </w:tabs>
        <w:ind w:start="720" w:end="0"/>
        <w:rPr>
          <w:i/>
          <w:i/>
        </w:rPr>
      </w:pPr>
      <w:r>
        <w:rPr>
          <w:i/>
        </w:rPr>
      </w:r>
    </w:p>
    <w:p>
      <w:pPr>
        <w:pStyle w:val="BodyTextIndent2"/>
        <w:tabs>
          <w:tab w:val="clear" w:pos="720"/>
          <w:tab w:val="left" w:pos="630" w:leader="none"/>
        </w:tabs>
        <w:ind w:firstLine="630" w:start="810" w:end="0"/>
        <w:rPr/>
      </w:pPr>
      <w:r>
        <w:rPr/>
        <w:t>Please note that in the event the Service Company acts as agent on behalf of only one operating utility, the common law agency concerns that are implicated when an agent acts on behalf of multiple principals are not present.  Therefore, so long as the contract with such a Service Company recites that such entity is acting for and on behalf of the operating utility as its authorized agent, the remainder of the drafting recommendations that follow are of much less importance.</w:t>
      </w:r>
    </w:p>
    <w:p>
      <w:pPr>
        <w:pStyle w:val="Normal"/>
        <w:ind w:start="720" w:end="0"/>
        <w:jc w:val="both"/>
        <w:rPr/>
      </w:pPr>
      <w:r>
        <w:rPr/>
      </w:r>
    </w:p>
    <w:p>
      <w:pPr>
        <w:pStyle w:val="Normal"/>
        <w:ind w:start="720" w:end="0"/>
        <w:jc w:val="both"/>
        <w:rPr/>
      </w:pPr>
      <w:r>
        <w:rPr/>
        <w:t xml:space="preserve"> </w:t>
      </w:r>
      <w:r>
        <w:rPr/>
        <w:tab/>
        <w:t>When dealing with a Service Company acting on behalf of two or more operating utilities, the following drafting procedures should be considered:</w:t>
      </w:r>
    </w:p>
    <w:p>
      <w:pPr>
        <w:pStyle w:val="Normal"/>
        <w:ind w:start="1440" w:end="0"/>
        <w:jc w:val="both"/>
        <w:rPr/>
      </w:pPr>
      <w:r>
        <w:rPr/>
      </w:r>
    </w:p>
    <w:p>
      <w:pPr>
        <w:pStyle w:val="BodyTextIndent2"/>
        <w:numPr>
          <w:ilvl w:val="0"/>
          <w:numId w:val="6"/>
        </w:numPr>
        <w:tabs>
          <w:tab w:val="clear" w:pos="720"/>
          <w:tab w:val="left" w:pos="1440" w:leader="none"/>
        </w:tabs>
        <w:rPr/>
      </w:pPr>
      <w:r>
        <w:rPr/>
        <w:t>Always clearly recite in the preamble of the master contract, along with the form of confirmation attached thereto, or any other agreement with the Service Company that the Service Company is acting as authorized agent for and on behalf and for the benefit of the operating utility(ies), which should be specifically identified by name.</w:t>
      </w:r>
    </w:p>
    <w:p>
      <w:pPr>
        <w:pStyle w:val="BodyTextIndent2"/>
        <w:rPr/>
      </w:pPr>
      <w:r>
        <w:rPr/>
      </w:r>
    </w:p>
    <w:p>
      <w:pPr>
        <w:pStyle w:val="Normal"/>
        <w:numPr>
          <w:ilvl w:val="0"/>
          <w:numId w:val="6"/>
        </w:numPr>
        <w:jc w:val="both"/>
        <w:rPr/>
      </w:pPr>
      <w:r>
        <w:rPr/>
        <w:t xml:space="preserve">Include language relating to the obligation of the operating utilities to pay regardless of whether the applicable state commission allows for the amounts paid to the Service Company to be recovered in customer rates.  I suggest revising the first sentence of Section 3.1 of the Master as follows:  </w:t>
      </w:r>
    </w:p>
    <w:p>
      <w:pPr>
        <w:pStyle w:val="Normal"/>
        <w:ind w:start="720" w:end="0"/>
        <w:jc w:val="both"/>
        <w:rPr/>
      </w:pPr>
      <w:r>
        <w:rPr/>
      </w:r>
    </w:p>
    <w:p>
      <w:pPr>
        <w:pStyle w:val="Normal"/>
        <w:ind w:start="1440" w:end="0"/>
        <w:jc w:val="both"/>
        <w:rPr/>
      </w:pPr>
      <w:r>
        <w:rPr/>
        <w:t xml:space="preserve">“ </w:t>
      </w:r>
      <w:r>
        <w:rPr/>
        <w:t>. . . and Buyer shall pay Seller the Contract Price, regardless of whether the applicable state public utility commission[s] allow for the amounts paid by the Operating Utilities to the Service Company pursuant to the GSA to be recovered in customer rates.”</w:t>
      </w:r>
    </w:p>
    <w:p>
      <w:pPr>
        <w:pStyle w:val="Normal"/>
        <w:tabs>
          <w:tab w:val="clear" w:pos="720"/>
          <w:tab w:val="left" w:pos="1440" w:leader="none"/>
        </w:tabs>
        <w:jc w:val="both"/>
        <w:rPr/>
      </w:pPr>
      <w:r>
        <w:rPr/>
      </w:r>
    </w:p>
    <w:p>
      <w:pPr>
        <w:pStyle w:val="Normal"/>
        <w:numPr>
          <w:ilvl w:val="0"/>
          <w:numId w:val="6"/>
        </w:numPr>
        <w:tabs>
          <w:tab w:val="left" w:pos="720" w:leader="none"/>
        </w:tabs>
        <w:jc w:val="both"/>
        <w:rPr/>
      </w:pPr>
      <w:r>
        <w:rPr/>
        <w:t>Request the utilities to execute an acknowledgment in the form attached hereto as Attachment 1, which can follow the signature block of the master agreement or in the absence of the master agreement, can be drafted as a stand-alone agreement in the form attached hereto as Attachment 2.</w:t>
      </w:r>
    </w:p>
    <w:p>
      <w:pPr>
        <w:pStyle w:val="Normal"/>
        <w:tabs>
          <w:tab w:val="left" w:pos="720" w:leader="none"/>
        </w:tabs>
        <w:jc w:val="both"/>
        <w:rPr/>
      </w:pPr>
      <w:r>
        <w:rPr/>
      </w:r>
    </w:p>
    <w:p>
      <w:pPr>
        <w:pStyle w:val="Normal"/>
        <w:numPr>
          <w:ilvl w:val="0"/>
          <w:numId w:val="6"/>
        </w:numPr>
        <w:tabs>
          <w:tab w:val="left" w:pos="720" w:leader="none"/>
        </w:tabs>
        <w:jc w:val="both"/>
        <w:rPr/>
      </w:pPr>
      <w:r>
        <w:rPr/>
        <w:t>Include the representations and warranties set forth in Attachment 3 hereto in the master agreement or in the absence thereof in any confirmations or other agreement with the Service Company.</w:t>
      </w:r>
    </w:p>
    <w:p>
      <w:pPr>
        <w:pStyle w:val="Normal"/>
        <w:tabs>
          <w:tab w:val="left" w:pos="720" w:leader="none"/>
        </w:tabs>
        <w:jc w:val="both"/>
        <w:rPr/>
      </w:pPr>
      <w:r>
        <w:rPr/>
      </w:r>
    </w:p>
    <w:p>
      <w:pPr>
        <w:pStyle w:val="Normal"/>
        <w:numPr>
          <w:ilvl w:val="0"/>
          <w:numId w:val="6"/>
        </w:numPr>
        <w:tabs>
          <w:tab w:val="left" w:pos="720" w:leader="none"/>
        </w:tabs>
        <w:jc w:val="both"/>
        <w:rPr>
          <w:color w:val="000000"/>
        </w:rPr>
      </w:pPr>
      <w:r>
        <w:rPr/>
        <w:t>Include the following subrogation clause to provide for subrogation of EPMI or ECT to any right of the Service Company to collect from the Operating Utilities on account of non-payment for the goods purchased on their behalf.  I would suggest adding such clause as the last subsection in Section 4 Defaults and Remedies of the Master Agreement or in the events of default section of such other agreement as may be entered into with the Service Company:</w:t>
      </w:r>
    </w:p>
    <w:p>
      <w:pPr>
        <w:pStyle w:val="Normal"/>
        <w:tabs>
          <w:tab w:val="left" w:pos="720" w:leader="none"/>
        </w:tabs>
        <w:jc w:val="both"/>
        <w:rPr>
          <w:color w:val="000000"/>
        </w:rPr>
      </w:pPr>
      <w:r>
        <w:rPr>
          <w:color w:val="000000"/>
        </w:rPr>
      </w:r>
    </w:p>
    <w:p>
      <w:pPr>
        <w:pStyle w:val="Normal"/>
        <w:tabs>
          <w:tab w:val="left" w:pos="720" w:leader="none"/>
        </w:tabs>
        <w:ind w:start="1440" w:end="0"/>
        <w:jc w:val="both"/>
        <w:rPr/>
      </w:pPr>
      <w:r>
        <w:rPr/>
        <w:t>[4.10]</w:t>
        <w:tab/>
      </w:r>
      <w:r>
        <w:rPr>
          <w:color w:val="000000"/>
          <w:u w:val="single"/>
        </w:rPr>
        <w:t>Subrogation</w:t>
      </w:r>
      <w:r>
        <w:rPr>
          <w:color w:val="000000"/>
        </w:rPr>
        <w:t>.  In addition to all of the other remedies provided for herein, in the case of an Event of Default by Counterparty hereunder (a “Counterparty Event of Default”), [EPMI/ECT] shall, without further notice, presentment, demand or instrument, all of which are expressly waived, be and become immediately subrogated and succeed to any and all rights of Counterparty against either or both of the Operating Utilities with respect to this Agreement, including indemnification and any other rights against the Operating Utilities provided for under the [GSA], and [EPMI/ECT] shall thereupon be entitled to assert all such rights directly against the Operating Utilities for its own account.  Following a Counterparty Event of Default, Counterparty shall not independently assert any such rights against the Operating Utilities without the express prior written consent of [EPMI/ECT] and shall cooperate fully with [EPMI/ECT] in its exercise of said rights and remedies as granted and assigned to [EPMI/ECT] in this Section [__], including, upon request of [EPMI/ECT], allowing [EPMI/ECT] to bring an action against the Operating Utilities in Counterparty's name and with Counterparty's full cooperation therein and the execution of instruments of assignment or other documents as [EPMI/ECT] may reasonably request to give full force and effect to the rights and remedies provided in this Section [  ] herein.  The rights and remedies provided in this Section [  ] shall be in addition to and cumulative of the other rights and remedies provided to [EPMI/ECT] herein, and the exercise of one or more other such rights or remedies shall not prejudice or impair the concurrent or subsequent exercise of these rights and remedies.</w:t>
      </w:r>
    </w:p>
    <w:p>
      <w:pPr>
        <w:pStyle w:val="Normal"/>
        <w:tabs>
          <w:tab w:val="clear" w:pos="720"/>
          <w:tab w:val="left" w:pos="1440" w:leader="none"/>
        </w:tabs>
        <w:jc w:val="both"/>
        <w:rPr>
          <w:color w:val="000000"/>
        </w:rPr>
      </w:pPr>
      <w:r>
        <w:rPr>
          <w:color w:val="000000"/>
        </w:rPr>
      </w:r>
    </w:p>
    <w:p>
      <w:pPr>
        <w:pStyle w:val="Normal"/>
        <w:numPr>
          <w:ilvl w:val="0"/>
          <w:numId w:val="6"/>
        </w:numPr>
        <w:jc w:val="both"/>
        <w:rPr/>
      </w:pPr>
      <w:r>
        <w:rPr/>
        <w:t>Consider whether to request a guarantee from the registered holding company and/or the operating utilities.</w:t>
      </w:r>
    </w:p>
    <w:p>
      <w:pPr>
        <w:pStyle w:val="Normal"/>
        <w:ind w:start="720" w:end="0"/>
        <w:jc w:val="both"/>
        <w:rPr/>
      </w:pPr>
      <w:r>
        <w:rPr/>
      </w:r>
    </w:p>
    <w:p>
      <w:pPr>
        <w:pStyle w:val="Normal"/>
        <w:numPr>
          <w:ilvl w:val="0"/>
          <w:numId w:val="8"/>
        </w:numPr>
        <w:jc w:val="both"/>
        <w:rPr/>
      </w:pPr>
      <w:r>
        <w:rPr/>
        <w:t>Coordinate with Credit to determine (a) if we can get a guarantee; and (b) if so, whether we really want such a guarantee.</w:t>
      </w:r>
    </w:p>
    <w:p>
      <w:pPr>
        <w:pStyle w:val="Normal"/>
        <w:ind w:start="1440" w:end="0"/>
        <w:jc w:val="both"/>
        <w:rPr/>
      </w:pPr>
      <w:r>
        <w:rPr/>
      </w:r>
    </w:p>
    <w:p>
      <w:pPr>
        <w:pStyle w:val="Normal"/>
        <w:numPr>
          <w:ilvl w:val="0"/>
          <w:numId w:val="8"/>
        </w:numPr>
        <w:jc w:val="both"/>
        <w:rPr/>
      </w:pPr>
      <w:r>
        <w:rPr/>
        <w:t>Confirm based upon due diligence above that the registered holding company is authorized to make such a guarantee on behalf of the Service Company.</w:t>
      </w:r>
    </w:p>
    <w:p>
      <w:pPr>
        <w:pStyle w:val="Normal"/>
        <w:jc w:val="both"/>
        <w:rPr/>
      </w:pPr>
      <w:r>
        <w:rPr/>
      </w:r>
    </w:p>
    <w:p>
      <w:pPr>
        <w:pStyle w:val="Normal"/>
        <w:numPr>
          <w:ilvl w:val="0"/>
          <w:numId w:val="3"/>
        </w:numPr>
        <w:jc w:val="both"/>
        <w:rPr/>
      </w:pPr>
      <w:r>
        <w:rPr/>
        <w:t>If such a guarantee is requested from the holding company and/or operating utilities, obtain an officer’s certificate (e.g., of the chief financial officer) from the guarantor certifying that the guarantor has sufficient headroom to make the guarantee.</w:t>
      </w:r>
    </w:p>
    <w:p>
      <w:pPr>
        <w:pStyle w:val="Normal"/>
        <w:ind w:start="1440" w:end="0"/>
        <w:jc w:val="both"/>
        <w:rPr/>
      </w:pPr>
      <w:r>
        <w:rPr/>
      </w:r>
    </w:p>
    <w:p>
      <w:pPr>
        <w:pStyle w:val="Normal"/>
        <w:numPr>
          <w:ilvl w:val="0"/>
          <w:numId w:val="6"/>
        </w:numPr>
        <w:jc w:val="both"/>
        <w:rPr/>
      </w:pPr>
      <w:r>
        <w:rPr/>
        <w:t>Consider requesting a legal opinion from the Service Company’s counsel relating to the authority of the Service Company to act as agent on behalf of the Operating Utilities, and which specifically references the GSA and orders of SEC and state commissions.</w:t>
      </w:r>
    </w:p>
    <w:p>
      <w:pPr>
        <w:pStyle w:val="Normal"/>
        <w:ind w:start="720" w:end="0"/>
        <w:jc w:val="both"/>
        <w:rPr/>
      </w:pPr>
      <w:r>
        <w:rPr/>
      </w:r>
    </w:p>
    <w:p>
      <w:pPr>
        <w:pStyle w:val="Normal"/>
        <w:numPr>
          <w:ilvl w:val="0"/>
          <w:numId w:val="6"/>
        </w:numPr>
        <w:jc w:val="both"/>
        <w:rPr/>
      </w:pPr>
      <w:r>
        <w:rPr/>
        <w:t xml:space="preserve">In the event the Operating Utilities are unwilling to sign an acknowledgment, determine whether they would object to the receipt of a confirmation letter in the form attached hereto as Attachment 4 to document the fact that we were relying on the credit of the utility in entering into the transactions and to create an estoppel argument in the event the utilities later claim that the Service Company was not entering into the transaction on their behalf.  </w:t>
      </w:r>
    </w:p>
    <w:p>
      <w:pPr>
        <w:pStyle w:val="Normal"/>
        <w:jc w:val="both"/>
        <w:rPr/>
      </w:pPr>
      <w:r>
        <w:rPr/>
      </w:r>
    </w:p>
    <w:p>
      <w:pPr>
        <w:pStyle w:val="Normal"/>
        <w:ind w:start="1440" w:end="0"/>
        <w:jc w:val="both"/>
        <w:rPr/>
      </w:pPr>
      <w:r>
        <w:rPr/>
        <w:t>We have not done any research regarding the legal effect of such a letter in this context and believe that in the event the Operating Utilities have refused to sign an acknowledgment, they would also likely object to this letter and thus leave EPMI or ECT in a worse position than it was in without the letter.  Accordingly, it would not be advisable to send out such a letter unless the matter was first discussed with the Service Company and cleared with the Operating Utilities.  Furthermore, Jeff Hodge has recommended that we discuss such a letter with the relevant trader before sending it out to the Operating Utilities.</w:t>
      </w:r>
    </w:p>
    <w:p>
      <w:pPr>
        <w:pStyle w:val="Normal"/>
        <w:ind w:start="720" w:end="0"/>
        <w:jc w:val="both"/>
        <w:rPr/>
      </w:pPr>
      <w:r>
        <w:rPr/>
      </w:r>
    </w:p>
    <w:p>
      <w:pPr>
        <w:pStyle w:val="Normal"/>
        <w:jc w:val="both"/>
        <w:rPr/>
      </w:pPr>
      <w:r>
        <w:rPr/>
        <w:tab/>
        <w:t>I look forward to discussing with each of you any comments or concerns you may have relating to this memorandum.</w:t>
      </w:r>
    </w:p>
    <w:p>
      <w:pPr>
        <w:pStyle w:val="Normal"/>
        <w:jc w:val="both"/>
        <w:rPr/>
      </w:pPr>
      <w:r>
        <w:rPr/>
      </w:r>
    </w:p>
    <w:p>
      <w:pPr>
        <w:pStyle w:val="Normal"/>
        <w:jc w:val="center"/>
        <w:rPr/>
      </w:pPr>
      <w:r>
        <w:rPr/>
        <w:t>LMH</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pPr>
      <w:r>
        <w:rPr/>
        <w:t>Attachment 1</w:t>
      </w:r>
    </w:p>
    <w:p>
      <w:pPr>
        <w:pStyle w:val="Normal"/>
        <w:jc w:val="both"/>
        <w:rPr/>
      </w:pPr>
      <w:r>
        <w:rPr/>
      </w:r>
    </w:p>
    <w:p>
      <w:pPr>
        <w:pStyle w:val="Normal"/>
        <w:jc w:val="center"/>
        <w:rPr/>
      </w:pPr>
      <w:r>
        <w:rPr/>
        <w:t>CONSENT AND ACKNOWLEDGMENT</w:t>
      </w:r>
    </w:p>
    <w:p>
      <w:pPr>
        <w:pStyle w:val="Normal"/>
        <w:jc w:val="center"/>
        <w:rPr/>
      </w:pPr>
      <w:r>
        <w:rPr/>
      </w:r>
    </w:p>
    <w:p>
      <w:pPr>
        <w:pStyle w:val="BodyText"/>
        <w:rPr/>
      </w:pPr>
      <w:r>
        <w:rPr>
          <w:sz w:val="24"/>
        </w:rPr>
        <w:tab/>
      </w:r>
      <w:r>
        <w:rPr>
          <w:i/>
          <w:sz w:val="24"/>
        </w:rPr>
        <w:t>Whereas</w:t>
      </w:r>
      <w:r>
        <w:rPr>
          <w:sz w:val="24"/>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“GSA”) with the Operating Utilities pursuant to which it is authorized to provide various services to the Operating Utilities, including, but not limited to, services relating to [the procurement of coal and power]; </w:t>
      </w:r>
    </w:p>
    <w:p>
      <w:pPr>
        <w:pStyle w:val="BodyText"/>
        <w:rPr>
          <w:sz w:val="24"/>
        </w:rPr>
      </w:pPr>
      <w:r>
        <w:rPr>
          <w:sz w:val="24"/>
        </w:rPr>
      </w:r>
    </w:p>
    <w:p>
      <w:pPr>
        <w:pStyle w:val="BodyTextIndent"/>
        <w:rPr/>
      </w:pPr>
      <w:r>
        <w:rPr>
          <w:i/>
        </w:rPr>
        <w:t>Now, therefore</w:t>
      </w:r>
      <w:r>
        <w:rPr/>
        <w:t>, each of the Operating Utilities hereby (a) acknowledges that the foregoing Master Energy Purchase and Sale Agreement (the “Agreement”) has been made and entered into by the Service Company as authorized agent for and on behalf and for the benefit of each of them pursuant to the GSA; (b) consents thereto and to all of the terms and conditions of the Agreement;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such Agreement as the valid and binding agreement of each of them enforceable against them in accordance with its terms.</w:t>
      </w:r>
    </w:p>
    <w:p>
      <w:pPr>
        <w:pStyle w:val="BodyTextIndent"/>
        <w:rPr/>
      </w:pPr>
      <w:r>
        <w:rPr/>
      </w:r>
    </w:p>
    <w:p>
      <w:pPr>
        <w:pStyle w:val="BodyTextIndent"/>
        <w:rPr/>
      </w:pPr>
      <w:r>
        <w:rPr/>
        <w:t>Furthermore, each of the Operating Utilities hereby acknowledges that [EPMI/ECT] has entered into the Agreement in reliance upon the execution of this Consent and Acknowledgment by the Operating Utilities and that EPMI/ECT would not be willing to enter into any Transaction (as such term is defined in the Agreement) with the Service Company in the absence of this Consent and Acknowledgment.</w:t>
      </w:r>
    </w:p>
    <w:p>
      <w:pPr>
        <w:pStyle w:val="BodyTextIndent"/>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 xml:space="preserve">By: </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By:</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r>
        <w:br w:type="page"/>
      </w:r>
    </w:p>
    <w:p>
      <w:pPr>
        <w:pStyle w:val="Normal"/>
        <w:jc w:val="center"/>
        <w:rPr/>
      </w:pPr>
      <w:r>
        <w:rPr/>
        <w:t>Attachment 2</w:t>
      </w:r>
    </w:p>
    <w:p>
      <w:pPr>
        <w:pStyle w:val="Normal"/>
        <w:jc w:val="both"/>
        <w:rPr/>
      </w:pPr>
      <w:r>
        <w:rPr/>
      </w:r>
    </w:p>
    <w:p>
      <w:pPr>
        <w:pStyle w:val="Normal"/>
        <w:jc w:val="center"/>
        <w:rPr/>
      </w:pPr>
      <w:r>
        <w:rPr/>
        <w:t>CONSENT AND ACKNOWLEDGMENT</w:t>
      </w:r>
    </w:p>
    <w:p>
      <w:pPr>
        <w:pStyle w:val="Normal"/>
        <w:jc w:val="center"/>
        <w:rPr/>
      </w:pPr>
      <w:r>
        <w:rPr/>
      </w:r>
    </w:p>
    <w:p>
      <w:pPr>
        <w:pStyle w:val="BodyText"/>
        <w:rPr/>
      </w:pPr>
      <w:r>
        <w:rPr>
          <w:sz w:val="24"/>
        </w:rPr>
        <w:tab/>
      </w:r>
      <w:r>
        <w:rPr>
          <w:i/>
          <w:sz w:val="24"/>
        </w:rPr>
        <w:t>Whereas</w:t>
      </w:r>
      <w:r>
        <w:rPr>
          <w:sz w:val="24"/>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“GSA”) with the Operating Utilities pursuant to which it is authorized to provide various services to the Operating Utilities, including, but not limited to, services relating to [the procurement of coal and power]; </w:t>
      </w:r>
    </w:p>
    <w:p>
      <w:pPr>
        <w:pStyle w:val="BodyText"/>
        <w:rPr>
          <w:sz w:val="24"/>
        </w:rPr>
      </w:pPr>
      <w:r>
        <w:rPr>
          <w:sz w:val="24"/>
        </w:rPr>
      </w:r>
    </w:p>
    <w:p>
      <w:pPr>
        <w:pStyle w:val="BodyTextIndent"/>
        <w:rPr/>
      </w:pPr>
      <w:r>
        <w:rPr>
          <w:i/>
        </w:rPr>
        <w:t>Now, therefore</w:t>
      </w:r>
      <w:r>
        <w:rPr/>
        <w:t>, each of the Operating Utilities hereby (a) acknowledges that the Service Company is authorized to enter into transactions with [Enron Power Marketing, Inc. (“EPMI”)/ Enron Capital &amp; Trade Resources Corp. (“ECT”)] relating to the purchase and sale of [Energy/Coal] (with such transaction referred to herein as a “Transaction”) pursuant to a single agreement or a series of agreements as authorized agent for and on behalf and for the benefit of each of them in accordance with the GSA; (b) consents thereto and to all of the terms and conditions of each Transaction;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BodyTextIndent"/>
        <w:rPr/>
      </w:pPr>
      <w:r>
        <w:rPr/>
      </w:r>
    </w:p>
    <w:p>
      <w:pPr>
        <w:pStyle w:val="BodyTextIndent"/>
        <w:rPr/>
      </w:pPr>
      <w:r>
        <w:rPr/>
        <w:t>Furthermore, each of the Operating Utilities hereby acknowledges that [EPMI/ECT] has entered or will enter into the Transactions in reliance upon the execution of this Consent and Acknowledgment by the Operating Utilities and that EPMI/ECT would not be willing to enter into any Transaction with the Service Company in the absence of this Consent and Acknowledgment.</w:t>
      </w:r>
    </w:p>
    <w:p>
      <w:pPr>
        <w:pStyle w:val="BodyTextIndent"/>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 xml:space="preserve">By: </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By:</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Normal"/>
        <w:jc w:val="both"/>
        <w:rPr/>
      </w:pPr>
      <w:r>
        <w:rPr/>
      </w:r>
    </w:p>
    <w:p>
      <w:pPr>
        <w:pStyle w:val="BodyTextIndent"/>
        <w:ind w:hanging="0" w:end="0"/>
        <w:rPr/>
      </w:pPr>
      <w:r>
        <w:rPr/>
      </w:r>
      <w:r>
        <w:br w:type="page"/>
      </w:r>
    </w:p>
    <w:p>
      <w:pPr>
        <w:pStyle w:val="BodyTextIndent"/>
        <w:ind w:hanging="0" w:end="0"/>
        <w:jc w:val="center"/>
        <w:rPr/>
      </w:pPr>
      <w:r>
        <w:rPr/>
        <w:t>Attachment 3</w:t>
      </w:r>
    </w:p>
    <w:p>
      <w:pPr>
        <w:pStyle w:val="BodyTextIndent"/>
        <w:ind w:hanging="0" w:end="0"/>
        <w:jc w:val="center"/>
        <w:rPr/>
      </w:pPr>
      <w:r>
        <w:rPr/>
      </w:r>
    </w:p>
    <w:p>
      <w:pPr>
        <w:pStyle w:val="BodyText2"/>
        <w:rPr/>
      </w:pPr>
      <w:r>
        <w:rPr/>
        <w:t>If these representations and warranties are to be included in our master agreement, the current Section 2 should be renumbered 2.1 and the following section can be added as Section 2.2:</w:t>
      </w:r>
    </w:p>
    <w:p>
      <w:pPr>
        <w:pStyle w:val="Normal"/>
        <w:jc w:val="both"/>
        <w:rPr/>
      </w:pPr>
      <w:r>
        <w:rPr/>
      </w:r>
    </w:p>
    <w:p>
      <w:pPr>
        <w:pStyle w:val="Heading2"/>
        <w:ind w:hanging="0" w:start="0"/>
        <w:rPr/>
      </w:pPr>
      <w:r>
        <w:rPr>
          <w:b/>
          <w:u w:val="single"/>
        </w:rPr>
        <w:t>Representations &amp; Warranties of the Service Company with respect to the Operating Utilities</w:t>
      </w:r>
      <w:r>
        <w:rPr/>
        <w:t>.  The Service Company represents and warrants that: (a) each of the Operating Utilities is duly organized, validly existing and in good standing under the applicable Law of the jurisdiction of its formation and is duly qualified and in good standing to conduct its respective businesses in those jurisdictions necessary to perform this Agreement; (b) the execution, delivery and performance of this Agreement are within the scope of its agency for the Operating Utilities pursuant to the GSA; (c) the GSA is in full force and effect and represents a valid and binding obligation of each of the Operating Utilities to accept and pay for the goods and services being obtained by the Service Company hereunder; (d) each of Operating Utilities has all regulatory authorizations necessary for each of them to legally perform its obligations under this Agreement and the GSA;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the Registered Holding Company] or to the Service Company's knowledge threatened against any of them; and (g) there are no suits, proceedings, judgments, rulings or orders by or before any court or any governmental authority that may materially adversely affect either of the Operating Utilities respective abilities to perform this Agreement or the GSA.  The Service Company hereby acknowledges that [Enron Power Marketing, Inc./Enron Capital &amp; Trade Resources] has entered into the Agreement in reliance upon the representations set forth in this Section __ and that EPMI/ECT would not be willing to enter into any Transaction with the Service Company in the absence of these representations.</w:t>
      </w:r>
    </w:p>
    <w:p>
      <w:pPr>
        <w:pStyle w:val="Normal"/>
        <w:jc w:val="both"/>
        <w:rPr/>
      </w:pPr>
      <w:r>
        <w:rPr/>
      </w:r>
      <w:r>
        <w:br w:type="page"/>
      </w:r>
    </w:p>
    <w:p>
      <w:pPr>
        <w:pStyle w:val="Normal"/>
        <w:jc w:val="center"/>
        <w:rPr/>
      </w:pPr>
      <w:r>
        <w:rPr/>
        <w:t>Atachment 4</w:t>
      </w:r>
    </w:p>
    <w:p>
      <w:pPr>
        <w:pStyle w:val="Normal"/>
        <w:jc w:val="center"/>
        <w:rPr/>
      </w:pPr>
      <w:r>
        <w:rPr/>
      </w:r>
    </w:p>
    <w:p>
      <w:pPr>
        <w:pStyle w:val="Normal"/>
        <w:jc w:val="center"/>
        <w:rPr/>
      </w:pPr>
      <w:r>
        <w:rPr/>
        <w:t>CONFIRMATION LETTER</w:t>
      </w:r>
    </w:p>
    <w:p>
      <w:pPr>
        <w:pStyle w:val="Normal"/>
        <w:jc w:val="both"/>
        <w:rPr/>
      </w:pPr>
      <w:r>
        <w:rPr/>
      </w:r>
    </w:p>
    <w:p>
      <w:pPr>
        <w:pStyle w:val="Normal"/>
        <w:jc w:val="both"/>
        <w:rPr/>
      </w:pPr>
      <w:r>
        <w:rPr/>
        <w:t>Operating Utility</w:t>
      </w:r>
    </w:p>
    <w:p>
      <w:pPr>
        <w:pStyle w:val="Normal"/>
        <w:jc w:val="both"/>
        <w:rPr/>
      </w:pPr>
      <w:r>
        <w:rPr/>
        <w:t>Address</w:t>
      </w:r>
    </w:p>
    <w:p>
      <w:pPr>
        <w:pStyle w:val="Normal"/>
        <w:jc w:val="both"/>
        <w:rPr/>
      </w:pPr>
      <w:r>
        <w:rPr/>
        <w:t>Attention:</w:t>
      </w:r>
    </w:p>
    <w:p>
      <w:pPr>
        <w:pStyle w:val="Normal"/>
        <w:jc w:val="both"/>
        <w:rPr/>
      </w:pPr>
      <w:r>
        <w:rPr/>
      </w:r>
    </w:p>
    <w:p>
      <w:pPr>
        <w:pStyle w:val="Normal"/>
        <w:jc w:val="both"/>
        <w:rPr/>
      </w:pPr>
      <w:r>
        <w:rPr/>
      </w:r>
    </w:p>
    <w:p>
      <w:pPr>
        <w:pStyle w:val="Normal"/>
        <w:jc w:val="both"/>
        <w:rPr/>
      </w:pPr>
      <w:r>
        <w:rPr/>
        <w:t>This letter is intended to confirm the agreement reached on ______________, 1999 between [Name of Service Company] (the “Service Company”), acting as authorized agent for and on behalf and for the benefit of each of [Name of Operating Utilities] (the “Operating Utilities], and Enron Power Marketing, Inc. (“EPMI”)/Enron Capital &amp; Trade Resources Corp. (“ECT”) regarding the sale of [Firm Energy/Coal] under the terms and conditions set forth in that certain [Master Agreement/Confirmation Agreement] (the ‘Transaction”).</w:t>
      </w:r>
    </w:p>
    <w:p>
      <w:pPr>
        <w:pStyle w:val="Normal"/>
        <w:jc w:val="both"/>
        <w:rPr/>
      </w:pPr>
      <w:r>
        <w:rPr/>
      </w:r>
    </w:p>
    <w:p>
      <w:pPr>
        <w:pStyle w:val="Normal"/>
        <w:jc w:val="both"/>
        <w:rPr/>
      </w:pPr>
      <w:r>
        <w:rPr/>
        <w:t xml:space="preserve">The Service Company has represented to EPMI/ECT: (i) that the Service Company is authorized, and it is within the scope of its agency, to enter into the Transaction pursuant to that certain General Services Agreement, dated _______, 199__ by and between the Service Company and the Operating Utilities (the “GSA”); (ii) that each of the Operating Utilities will be responsible for the obligations incurred pursuant to the Transaction on their behalf by the Service Company as their authorized agent, and (iii) that the Service Company and each of the Operating Utilities has full power and authority, including all required regulatory authorizations, necessary to make and enter into such Transaction as the valid and binding agreement of each of them enforceable against them  in accordance with its term.  </w:t>
      </w:r>
    </w:p>
    <w:p>
      <w:pPr>
        <w:pStyle w:val="Normal"/>
        <w:jc w:val="both"/>
        <w:rPr/>
      </w:pPr>
      <w:r>
        <w:rPr/>
      </w:r>
    </w:p>
    <w:p>
      <w:pPr>
        <w:pStyle w:val="Normal"/>
        <w:jc w:val="both"/>
        <w:rPr/>
      </w:pPr>
      <w:r>
        <w:rPr/>
        <w:t>EPMI/ECT has entered into this Transaction in reliance upon the representations of the Service Company set forth above.  Accordingly, if this letter does not accurately reflect the Service Company’s authority to act on your, please notify EMPI/ECT by facsimile as soon as possible at (713) _________ (Attention: _______________).  If you have any questions, please call (713) _________________________________________-.</w:t>
      </w:r>
    </w:p>
    <w:p>
      <w:pPr>
        <w:pStyle w:val="Normal"/>
        <w:jc w:val="both"/>
        <w:rPr/>
      </w:pPr>
      <w:r>
        <w:rPr/>
      </w:r>
    </w:p>
    <w:p>
      <w:pPr>
        <w:pStyle w:val="Normal"/>
        <w:jc w:val="both"/>
        <w:rPr/>
      </w:pPr>
      <w:r>
        <w:rPr/>
        <w:tab/>
        <w:tab/>
        <w:tab/>
        <w:tab/>
        <w:tab/>
        <w:t>Enron Power Marketing, Inc./</w:t>
      </w:r>
    </w:p>
    <w:p>
      <w:pPr>
        <w:pStyle w:val="Normal"/>
        <w:jc w:val="both"/>
        <w:rPr/>
      </w:pPr>
      <w:r>
        <w:rPr/>
        <w:tab/>
        <w:tab/>
        <w:tab/>
        <w:tab/>
        <w:tab/>
        <w:t>Enron Capital &amp; Trade Resources, Inc.</w:t>
      </w:r>
    </w:p>
    <w:p>
      <w:pPr>
        <w:pStyle w:val="Normal"/>
        <w:jc w:val="both"/>
        <w:rPr/>
      </w:pPr>
      <w:r>
        <w:rPr/>
      </w:r>
    </w:p>
    <w:p>
      <w:pPr>
        <w:pStyle w:val="Normal"/>
        <w:jc w:val="both"/>
        <w:rPr/>
      </w:pPr>
      <w:r>
        <w:rPr/>
        <w:tab/>
        <w:tab/>
        <w:tab/>
        <w:tab/>
        <w:tab/>
        <w:t xml:space="preserve">By: </w:t>
      </w:r>
    </w:p>
    <w:p>
      <w:pPr>
        <w:pStyle w:val="Normal"/>
        <w:jc w:val="both"/>
        <w:rPr/>
      </w:pPr>
      <w:r>
        <w:rPr/>
        <w:tab/>
        <w:tab/>
        <w:tab/>
        <w:tab/>
        <w:tab/>
        <w:t>Name:</w:t>
      </w:r>
    </w:p>
    <w:p>
      <w:pPr>
        <w:pStyle w:val="Normal"/>
        <w:jc w:val="both"/>
        <w:rPr/>
      </w:pPr>
      <w:r>
        <w:rPr/>
        <w:tab/>
        <w:tab/>
        <w:tab/>
        <w:tab/>
        <w:tab/>
        <w:t>Title</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2"/>
      </w:rPr>
    </w:pPr>
    <w:r>
      <w:rPr>
        <w:b/>
        <w:sz w:val="12"/>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/mnt/main-storage/datasets/enron-docs/doc/Service_Companies-ea8c137fe101473b44afc36cac91f266bbd43060b091f4ddd3bb89e65b933c84.doc</w:t>
    </w:r>
    <w:r>
      <w:rPr>
        <w:sz w:val="12"/>
        <w:b/>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tabs>
        <w:tab w:val="clear" w:pos="4320"/>
        <w:tab w:val="left" w:pos="2430" w:leader="none"/>
        <w:tab w:val="left" w:pos="5310" w:leader="none"/>
        <w:tab w:val="right" w:pos="8640" w:leader="none"/>
        <w:tab w:val="right" w:pos="10800" w:leader="none"/>
      </w:tabs>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/mnt/main-storage/datasets/enron-docs/doc/Service_Companies-ea8c137fe101473b44afc36cac91f266bbd43060b091f4ddd3bb89e65b933c84.doc</w:t>
    </w:r>
    <w:r>
      <w:rPr>
        <w:sz w:val="12"/>
        <w:b/>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1440"/>
        </w:tabs>
        <w:ind w:start="1440" w:hanging="720"/>
      </w:pPr>
      <w:rPr>
        <w:i/>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2"/>
      <w:numFmt w:val="upperLetter"/>
      <w:lvlText w:val="%1."/>
      <w:lvlJc w:val="start"/>
      <w:pPr>
        <w:tabs>
          <w:tab w:val="num" w:pos="1440"/>
        </w:tabs>
        <w:ind w:start="1440" w:hanging="720"/>
      </w:pPr>
      <w:rPr/>
    </w:lvl>
  </w:abstractNum>
  <w:abstractNum w:abstractNumId="8">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tabs>
        <w:tab w:val="clear" w:pos="720"/>
        <w:tab w:val="left" w:pos="1440" w:leader="none"/>
      </w:tabs>
      <w:ind w:hanging="720" w:start="1440" w:end="0"/>
      <w:jc w:val="both"/>
    </w:pPr>
    <w:rPr/>
  </w:style>
  <w:style w:type="paragraph" w:styleId="BodyText2">
    <w:name w:val="Body Text 2"/>
    <w:basedOn w:val="Normal"/>
    <w:qFormat/>
    <w:pPr>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freeedgar.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1999-07-06T13:35:00Z</dcterms:created>
  <dc:creator>ECT</dc:creator>
  <dc:description/>
  <dc:language>en-CA</dc:language>
  <cp:lastModifiedBy>leslie hansen</cp:lastModifiedBy>
  <cp:lastPrinted>1999-07-20T12:16:00Z</cp:lastPrinted>
  <dcterms:modified xsi:type="dcterms:W3CDTF">2001-06-28T14:26:00Z</dcterms:modified>
  <cp:revision>36</cp:revision>
  <dc:subject/>
  <dc:title>New Logo Form Memo</dc:title>
</cp:coreProperties>
</file>