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Service Agreement – Third Party Pipelines</w:t>
      </w:r>
    </w:p>
    <w:p>
      <w:pPr>
        <w:pStyle w:val="Normal"/>
        <w:rPr/>
      </w:pPr>
      <w:r>
        <w:rPr/>
      </w:r>
    </w:p>
    <w:p>
      <w:pPr>
        <w:pStyle w:val="Normal"/>
        <w:rPr>
          <w:sz w:val="22"/>
        </w:rPr>
      </w:pPr>
      <w:r>
        <w:rPr>
          <w:sz w:val="22"/>
        </w:rPr>
        <w:t xml:space="preserve">What: </w:t>
        <w:tab/>
        <w:tab/>
        <w:t xml:space="preserve">Overview of conference call with EnronOnline and Sullivan and Cromwell </w:t>
      </w:r>
    </w:p>
    <w:p>
      <w:pPr>
        <w:pStyle w:val="Normal"/>
        <w:rPr>
          <w:sz w:val="22"/>
        </w:rPr>
      </w:pPr>
      <w:r>
        <w:rPr>
          <w:sz w:val="22"/>
        </w:rPr>
        <w:t xml:space="preserve">When: </w:t>
        <w:tab/>
        <w:tab/>
        <w:t>Friday, February 9, 2001</w:t>
      </w:r>
    </w:p>
    <w:p>
      <w:pPr>
        <w:pStyle w:val="Normal"/>
        <w:rPr>
          <w:sz w:val="22"/>
        </w:rPr>
      </w:pPr>
      <w:r>
        <w:rPr>
          <w:sz w:val="22"/>
        </w:rPr>
        <w:t xml:space="preserve">Who: </w:t>
        <w:tab/>
        <w:tab/>
        <w:t xml:space="preserve">EnronOnline – Mark Taylor, Carlos Alatorre, Carl Carter </w:t>
      </w:r>
    </w:p>
    <w:p>
      <w:pPr>
        <w:pStyle w:val="Normal"/>
        <w:ind w:start="1440" w:end="0"/>
        <w:rPr>
          <w:sz w:val="22"/>
        </w:rPr>
      </w:pPr>
      <w:r>
        <w:rPr>
          <w:sz w:val="22"/>
        </w:rPr>
        <w:t>Sullivan and Cromwell – David Gilberg (Partner), Karen McIntyre (Intellectual Property Rights)</w:t>
      </w:r>
    </w:p>
    <w:p>
      <w:pPr>
        <w:pStyle w:val="Normal"/>
        <w:rPr>
          <w:sz w:val="22"/>
        </w:rPr>
      </w:pPr>
      <w:r>
        <w:rPr>
          <w:sz w:val="22"/>
        </w:rPr>
      </w:r>
    </w:p>
    <w:p>
      <w:pPr>
        <w:pStyle w:val="Normal"/>
        <w:rPr>
          <w:sz w:val="22"/>
        </w:rPr>
      </w:pPr>
      <w:r>
        <w:rPr>
          <w:sz w:val="22"/>
        </w:rPr>
        <w:t>Purpose:</w:t>
        <w:tab/>
        <w:t>To review the Service Agreement Guideline for the Third Party Pipeline Project</w:t>
      </w:r>
    </w:p>
    <w:p>
      <w:pPr>
        <w:pStyle w:val="Normal"/>
        <w:rPr>
          <w:sz w:val="22"/>
        </w:rPr>
      </w:pPr>
      <w:r>
        <w:rPr>
          <w:sz w:val="22"/>
        </w:rPr>
      </w:r>
    </w:p>
    <w:p>
      <w:pPr>
        <w:pStyle w:val="Normal"/>
        <w:rPr>
          <w:sz w:val="22"/>
        </w:rPr>
      </w:pPr>
      <w:r>
        <w:rPr>
          <w:sz w:val="22"/>
        </w:rPr>
        <w:t>Overview:</w:t>
        <w:tab/>
        <w:t xml:space="preserve">We asked for a conference call with the legal team at Sullivan and Cromwell in New York in order to discuss the Service Agreement for the Third Party Pipeline Project. The meeting consisted of detail-oriented clarifying questions about the services that EnronOnline will commit to provide. </w:t>
      </w:r>
    </w:p>
    <w:p>
      <w:pPr>
        <w:pStyle w:val="Normal"/>
        <w:rPr>
          <w:sz w:val="22"/>
        </w:rPr>
      </w:pPr>
      <w:r>
        <w:rPr>
          <w:sz w:val="22"/>
        </w:rPr>
      </w:r>
    </w:p>
    <w:p>
      <w:pPr>
        <w:pStyle w:val="Normal"/>
        <w:rPr>
          <w:sz w:val="22"/>
        </w:rPr>
      </w:pPr>
      <w:r>
        <w:rPr>
          <w:sz w:val="22"/>
        </w:rPr>
        <w:t>Details:</w:t>
      </w:r>
    </w:p>
    <w:p>
      <w:pPr>
        <w:pStyle w:val="Normal"/>
        <w:numPr>
          <w:ilvl w:val="0"/>
          <w:numId w:val="2"/>
        </w:numPr>
        <w:rPr>
          <w:sz w:val="22"/>
        </w:rPr>
      </w:pPr>
      <w:r>
        <w:rPr>
          <w:sz w:val="22"/>
        </w:rPr>
        <w:t xml:space="preserve">Questions concerning EnronOnline software (Intellectual Property Rights): </w:t>
      </w:r>
    </w:p>
    <w:p>
      <w:pPr>
        <w:pStyle w:val="Normal"/>
        <w:numPr>
          <w:ilvl w:val="0"/>
          <w:numId w:val="1"/>
        </w:numPr>
        <w:rPr>
          <w:sz w:val="22"/>
        </w:rPr>
      </w:pPr>
      <w:r>
        <w:rPr>
          <w:sz w:val="22"/>
        </w:rPr>
        <w:t>Is all of the software technology owned by Enron? Example: Does Ariba or SAP have in any way any rights to potential revenues generated through marketing the technology?</w:t>
      </w:r>
    </w:p>
    <w:p>
      <w:pPr>
        <w:pStyle w:val="Normal"/>
        <w:numPr>
          <w:ilvl w:val="0"/>
          <w:numId w:val="1"/>
        </w:numPr>
        <w:rPr>
          <w:sz w:val="22"/>
        </w:rPr>
      </w:pPr>
      <w:r>
        <w:rPr>
          <w:sz w:val="22"/>
        </w:rPr>
        <w:t>Do we need to list a disclaimer that the Stack Manager Light (SML) is not the same software as the Stack Manager on EnronOnline? We may need to give the application a name (Pipeline Management Application, Pipeline Trade Manager, ect.).</w:t>
      </w:r>
    </w:p>
    <w:p>
      <w:pPr>
        <w:pStyle w:val="Normal"/>
        <w:numPr>
          <w:ilvl w:val="0"/>
          <w:numId w:val="2"/>
        </w:numPr>
        <w:rPr>
          <w:sz w:val="22"/>
        </w:rPr>
      </w:pPr>
      <w:r>
        <w:rPr>
          <w:sz w:val="22"/>
        </w:rPr>
        <w:t>Maintenance and Service Commitments:</w:t>
      </w:r>
    </w:p>
    <w:p>
      <w:pPr>
        <w:pStyle w:val="Normal"/>
        <w:numPr>
          <w:ilvl w:val="0"/>
          <w:numId w:val="1"/>
        </w:numPr>
        <w:rPr>
          <w:sz w:val="22"/>
        </w:rPr>
      </w:pPr>
      <w:r>
        <w:rPr>
          <w:sz w:val="22"/>
        </w:rPr>
        <w:t>What details can we provide relating to the actual services that we will provide under The Agreement?</w:t>
      </w:r>
    </w:p>
    <w:p>
      <w:pPr>
        <w:pStyle w:val="Normal"/>
        <w:numPr>
          <w:ilvl w:val="0"/>
          <w:numId w:val="1"/>
        </w:numPr>
        <w:rPr>
          <w:sz w:val="22"/>
        </w:rPr>
      </w:pPr>
      <w:r>
        <w:rPr>
          <w:sz w:val="22"/>
        </w:rPr>
        <w:t>How many hours/days will we EnronOnline take to build additional products?</w:t>
      </w:r>
    </w:p>
    <w:p>
      <w:pPr>
        <w:pStyle w:val="Normal"/>
        <w:numPr>
          <w:ilvl w:val="0"/>
          <w:numId w:val="1"/>
        </w:numPr>
        <w:rPr>
          <w:sz w:val="22"/>
        </w:rPr>
      </w:pPr>
      <w:r>
        <w:rPr>
          <w:sz w:val="22"/>
        </w:rPr>
        <w:t>Should EnronOnline commit to sending out monthly statements detailing transaction activity, counterparty trade status, total active products, ect.</w:t>
      </w:r>
    </w:p>
    <w:p>
      <w:pPr>
        <w:pStyle w:val="Normal"/>
        <w:numPr>
          <w:ilvl w:val="0"/>
          <w:numId w:val="1"/>
        </w:numPr>
        <w:rPr>
          <w:sz w:val="22"/>
        </w:rPr>
      </w:pPr>
      <w:r>
        <w:rPr>
          <w:sz w:val="22"/>
        </w:rPr>
        <w:t>Will The Pipelines have an exclusive PCG that they can access at any time?</w:t>
      </w:r>
    </w:p>
    <w:p>
      <w:pPr>
        <w:pStyle w:val="Normal"/>
        <w:numPr>
          <w:ilvl w:val="0"/>
          <w:numId w:val="1"/>
        </w:numPr>
        <w:rPr>
          <w:sz w:val="22"/>
        </w:rPr>
      </w:pPr>
      <w:r>
        <w:rPr>
          <w:sz w:val="22"/>
        </w:rPr>
        <w:t>Will The Pipelines’ counterparties have access to a Help Desk? If so, will the Pipelines have an exclusive Help Desk?</w:t>
      </w:r>
    </w:p>
    <w:p>
      <w:pPr>
        <w:pStyle w:val="Normal"/>
        <w:numPr>
          <w:ilvl w:val="0"/>
          <w:numId w:val="1"/>
        </w:numPr>
        <w:rPr>
          <w:sz w:val="22"/>
        </w:rPr>
      </w:pPr>
      <w:r>
        <w:rPr>
          <w:sz w:val="22"/>
        </w:rPr>
        <w:t>What commitments, if any, will EnronOnline make concerning sending technicians to The Pipelines’ locations if a EnronOnline related problem occurs that cannot be resolved internally?</w:t>
      </w:r>
    </w:p>
    <w:p>
      <w:pPr>
        <w:pStyle w:val="Normal"/>
        <w:numPr>
          <w:ilvl w:val="0"/>
          <w:numId w:val="1"/>
        </w:numPr>
        <w:rPr>
          <w:sz w:val="22"/>
        </w:rPr>
      </w:pPr>
      <w:r>
        <w:rPr>
          <w:sz w:val="22"/>
        </w:rPr>
        <w:t>Should we list a disclaimer concerning any and all posting requirements by the FERC after capacity has been rewarded?</w:t>
      </w:r>
    </w:p>
    <w:p>
      <w:pPr>
        <w:pStyle w:val="Normal"/>
        <w:numPr>
          <w:ilvl w:val="0"/>
          <w:numId w:val="2"/>
        </w:numPr>
        <w:rPr>
          <w:sz w:val="22"/>
        </w:rPr>
      </w:pPr>
      <w:r>
        <w:rPr>
          <w:sz w:val="22"/>
        </w:rPr>
        <w:t>Administration and Responsibility:</w:t>
      </w:r>
    </w:p>
    <w:p>
      <w:pPr>
        <w:pStyle w:val="Normal"/>
        <w:numPr>
          <w:ilvl w:val="0"/>
          <w:numId w:val="1"/>
        </w:numPr>
        <w:rPr>
          <w:sz w:val="22"/>
        </w:rPr>
      </w:pPr>
      <w:r>
        <w:rPr>
          <w:sz w:val="22"/>
        </w:rPr>
        <w:t>If Enron cancels a counterparty’s ‘execute status’, it should (or should not) be able to cancel the same counterparty that is administered The Pipeline.</w:t>
      </w:r>
    </w:p>
    <w:p>
      <w:pPr>
        <w:pStyle w:val="Normal"/>
        <w:numPr>
          <w:ilvl w:val="0"/>
          <w:numId w:val="1"/>
        </w:numPr>
        <w:rPr>
          <w:sz w:val="22"/>
        </w:rPr>
      </w:pPr>
      <w:r>
        <w:rPr>
          <w:sz w:val="22"/>
        </w:rPr>
        <w:t xml:space="preserve"> </w:t>
      </w:r>
      <w:r>
        <w:rPr>
          <w:sz w:val="22"/>
        </w:rPr>
        <w:t>How are we going to administer who is in charge at each Pipeline to make changes and build products? Will we need a dedicated phone and fax line for The Pipelines to use when making changes?</w:t>
      </w:r>
    </w:p>
    <w:p>
      <w:pPr>
        <w:pStyle w:val="Normal"/>
        <w:numPr>
          <w:ilvl w:val="0"/>
          <w:numId w:val="1"/>
        </w:numPr>
        <w:rPr>
          <w:sz w:val="22"/>
        </w:rPr>
      </w:pPr>
      <w:r>
        <w:rPr>
          <w:sz w:val="22"/>
        </w:rPr>
        <w:t>A disclaimer prohibiting The Pipelines from publishing anything (press release, marketing materials, customer letters, ect.) mentioning EnronOnline without EnronOnline’s prior approval needs to be addressed.</w:t>
      </w:r>
    </w:p>
    <w:p>
      <w:pPr>
        <w:pStyle w:val="Normal"/>
        <w:numPr>
          <w:ilvl w:val="0"/>
          <w:numId w:val="1"/>
        </w:numPr>
        <w:rPr>
          <w:sz w:val="22"/>
        </w:rPr>
      </w:pPr>
      <w:r>
        <w:rPr>
          <w:sz w:val="22"/>
        </w:rPr>
        <w:t>Customer lists: restrictions, rights and commitments by both EnronOnline and The Counterparties</w:t>
      </w:r>
    </w:p>
    <w:p>
      <w:pPr>
        <w:pStyle w:val="Normal"/>
        <w:numPr>
          <w:ilvl w:val="0"/>
          <w:numId w:val="1"/>
        </w:numPr>
        <w:rPr>
          <w:sz w:val="22"/>
        </w:rPr>
      </w:pPr>
      <w:r>
        <w:rPr>
          <w:sz w:val="22"/>
        </w:rPr>
        <w:t>What advice concerning the wording of the Long Descriptions will EnronOnline commit to providing? Will EnronOnline commit to printing exactly what The Pipeline sends us with no exceptions? Will EnronOnline require that a legal representative of The Pipeline’s approve all drafts of Short and Long Descriptions? To what degree does EnronOnline want to control the consistency of the Short and Long Descriptions across The Pipelines?</w:t>
      </w:r>
    </w:p>
    <w:p>
      <w:pPr>
        <w:pStyle w:val="Normal"/>
        <w:rPr>
          <w:sz w:val="22"/>
        </w:rPr>
      </w:pPr>
      <w:r>
        <w:rPr>
          <w:sz w:val="22"/>
        </w:rPr>
      </w:r>
    </w:p>
    <w:p>
      <w:pPr>
        <w:pStyle w:val="Normal"/>
        <w:numPr>
          <w:ilvl w:val="0"/>
          <w:numId w:val="2"/>
        </w:numPr>
        <w:rPr>
          <w:sz w:val="22"/>
        </w:rPr>
      </w:pPr>
      <w:r>
        <w:rPr>
          <w:sz w:val="22"/>
        </w:rPr>
        <w:t>Conclusion:</w:t>
      </w:r>
    </w:p>
    <w:p>
      <w:pPr>
        <w:pStyle w:val="Normal"/>
        <w:rPr>
          <w:sz w:val="22"/>
        </w:rPr>
      </w:pPr>
      <w:r>
        <w:rPr>
          <w:sz w:val="22"/>
        </w:rPr>
        <w:t>Sullivan and Cromwell made a loose commitment to creating a formal draft of the Service Agreement by Wednesday, February 14. The details above can be inserted after receiving the initial draft.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1080"/>
        </w:tabs>
        <w:ind w:start="1080" w:hanging="360"/>
      </w:pPr>
      <w:rPr>
        <w:rFonts w:ascii="Liberation Serif" w:hAnsi="Liberation Serif" w:cs="Liberation Serif" w:hint="default"/>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2001-02-12T11:57:00Z</dcterms:created>
  <dc:creator>ccarter4</dc:creator>
  <dc:description/>
  <dc:language>en-CA</dc:language>
  <cp:lastModifiedBy>ccarter4</cp:lastModifiedBy>
  <dcterms:modified xsi:type="dcterms:W3CDTF">2001-02-12T13:48:00Z</dcterms:modified>
  <cp:revision>3</cp:revision>
  <dc:subject/>
  <dc:title/>
</cp:coreProperties>
</file>