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end"/>
        <w:rPr/>
      </w:pPr>
      <w:r>
        <w:rPr/>
        <w:t>February 5, 2001</w:t>
      </w:r>
    </w:p>
    <w:p>
      <w:pPr>
        <w:pStyle w:val="Heading1"/>
        <w:rPr/>
      </w:pPr>
      <w:r>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jc w:val="center"/>
        <w:rPr>
          <w:rFonts w:ascii="Arial" w:hAnsi="Arial" w:cs="Arial"/>
          <w:b/>
          <w:sz w:val="28"/>
        </w:rPr>
      </w:pPr>
      <w:r>
        <w:rPr>
          <w:rFonts w:cs="Arial" w:ascii="Arial" w:hAnsi="Arial"/>
          <w:b/>
          <w:sz w:val="28"/>
        </w:rPr>
        <w:t>SERVICE AGREEMENT GUIDELINE</w:t>
      </w:r>
    </w:p>
    <w:p>
      <w:pPr>
        <w:pStyle w:val="Normal"/>
        <w:rPr>
          <w:rFonts w:ascii="Arial" w:hAnsi="Arial" w:cs="Arial"/>
          <w:b/>
          <w:sz w:val="28"/>
        </w:rPr>
      </w:pPr>
      <w:r>
        <w:rPr>
          <w:rFonts w:cs="Arial" w:ascii="Arial" w:hAnsi="Arial"/>
          <w:b/>
          <w:sz w:val="28"/>
        </w:rPr>
      </w:r>
    </w:p>
    <w:p>
      <w:pPr>
        <w:pStyle w:val="Normal"/>
        <w:rPr>
          <w:rFonts w:ascii="Arial" w:hAnsi="Arial" w:cs="Arial"/>
          <w:b/>
          <w:sz w:val="24"/>
        </w:rPr>
      </w:pPr>
      <w:r>
        <w:rPr>
          <w:rFonts w:cs="Arial" w:ascii="Arial" w:hAnsi="Arial"/>
          <w:b/>
          <w:sz w:val="24"/>
        </w:rPr>
        <w:t>General Overview:</w:t>
      </w:r>
    </w:p>
    <w:p>
      <w:pPr>
        <w:pStyle w:val="BodyTextIndent"/>
        <w:rPr>
          <w:rFonts w:ascii="Arial" w:hAnsi="Arial" w:cs="Arial"/>
          <w:b/>
          <w:sz w:val="24"/>
        </w:rPr>
      </w:pPr>
      <w:r>
        <w:rPr>
          <w:rFonts w:cs="Arial"/>
          <w:b/>
          <w:sz w:val="24"/>
        </w:rPr>
      </w:r>
    </w:p>
    <w:p>
      <w:pPr>
        <w:pStyle w:val="BodyTextIndent"/>
        <w:tabs>
          <w:tab w:val="clear" w:pos="720"/>
          <w:tab w:val="left" w:pos="900" w:leader="none"/>
          <w:tab w:val="left" w:pos="1080" w:leader="none"/>
        </w:tabs>
        <w:rPr/>
      </w:pPr>
      <w:r>
        <w:rPr/>
        <w:t xml:space="preserve">EnronOnline will provide Third Party Pipeline Companies (“The Pipeline Companies”) with the tools to insert and manage their pipeline capacity products on The EnronOnline Website (“The Website”).  The Pipeline Companies will pay for the license to use a “Light” version of the existing Stack Manager to post their capacity products on The Website. The Pipeline Companies will have the ability to add, remove, and edit the prices and volumes of their individual products. </w:t>
      </w:r>
    </w:p>
    <w:p>
      <w:pPr>
        <w:pStyle w:val="BodyTextIndent"/>
        <w:rPr/>
      </w:pPr>
      <w:r>
        <w:rPr/>
      </w:r>
    </w:p>
    <w:p>
      <w:pPr>
        <w:pStyle w:val="BodyTextIndent"/>
        <w:rPr>
          <w:b/>
        </w:rPr>
      </w:pPr>
      <w:r>
        <w:rPr>
          <w:b/>
        </w:rPr>
      </w:r>
    </w:p>
    <w:p>
      <w:pPr>
        <w:pStyle w:val="BodyTextIndent"/>
        <w:rPr>
          <w:b/>
        </w:rPr>
      </w:pPr>
      <w:r>
        <w:rPr>
          <w:b/>
        </w:rPr>
      </w:r>
    </w:p>
    <w:p>
      <w:pPr>
        <w:pStyle w:val="BodyTextIndent"/>
        <w:rPr>
          <w:b/>
        </w:rPr>
      </w:pPr>
      <w:r>
        <w:rPr>
          <w:b/>
        </w:rPr>
        <w:t>The Scope of Service will include, but not be limited to, the following:</w:t>
      </w:r>
    </w:p>
    <w:p>
      <w:pPr>
        <w:pStyle w:val="BodyTextIndent"/>
        <w:rPr>
          <w:b/>
        </w:rPr>
      </w:pPr>
      <w:r>
        <w:rPr>
          <w:b/>
        </w:rPr>
      </w:r>
    </w:p>
    <w:p>
      <w:pPr>
        <w:pStyle w:val="BodyTextIndent"/>
        <w:numPr>
          <w:ilvl w:val="0"/>
          <w:numId w:val="0"/>
        </w:numPr>
        <w:ind w:hanging="0" w:start="360"/>
        <w:outlineLvl w:val="0"/>
        <w:rPr/>
      </w:pPr>
      <w:r>
        <w:rPr/>
        <w:t xml:space="preserve">I. Initial Setup - A one-time setup fee will apply and The Pipeline Companies will be invoiced on the day that The Contract is signed. Standard terms are Net 30 days. </w:t>
      </w:r>
    </w:p>
    <w:p>
      <w:pPr>
        <w:pStyle w:val="BodyTextIndent"/>
        <w:numPr>
          <w:ilvl w:val="0"/>
          <w:numId w:val="0"/>
        </w:numPr>
        <w:ind w:hanging="0" w:start="720" w:end="0"/>
        <w:outlineLvl w:val="0"/>
        <w:rPr/>
      </w:pPr>
      <w:r>
        <w:rPr/>
      </w:r>
    </w:p>
    <w:p>
      <w:pPr>
        <w:pStyle w:val="BodyTextIndent"/>
        <w:numPr>
          <w:ilvl w:val="0"/>
          <w:numId w:val="6"/>
        </w:numPr>
        <w:outlineLvl w:val="0"/>
        <w:rPr/>
      </w:pPr>
      <w:r>
        <w:rPr/>
        <w:t xml:space="preserve">Hardware </w:t>
      </w:r>
    </w:p>
    <w:p>
      <w:pPr>
        <w:pStyle w:val="BodyTextIndent"/>
        <w:numPr>
          <w:ilvl w:val="0"/>
          <w:numId w:val="0"/>
        </w:numPr>
        <w:ind w:hanging="0" w:start="1080" w:end="0"/>
        <w:outlineLvl w:val="0"/>
        <w:rPr>
          <w:i/>
          <w:i/>
        </w:rPr>
      </w:pPr>
      <w:r>
        <w:rPr/>
        <w:t xml:space="preserve">Technicians will ensure that The Pipeline Companies’ hardware requirements are sufficient; any and all hardware upgrades are not included in this Service Agreement    </w:t>
      </w:r>
    </w:p>
    <w:p>
      <w:pPr>
        <w:pStyle w:val="BodyTextIndent"/>
        <w:numPr>
          <w:ilvl w:val="0"/>
          <w:numId w:val="0"/>
        </w:numPr>
        <w:ind w:hanging="0" w:start="360"/>
        <w:outlineLvl w:val="0"/>
        <w:rPr/>
      </w:pPr>
      <w:r>
        <w:rPr/>
        <w:tab/>
      </w:r>
    </w:p>
    <w:p>
      <w:pPr>
        <w:pStyle w:val="BodyTextIndent"/>
        <w:numPr>
          <w:ilvl w:val="0"/>
          <w:numId w:val="0"/>
        </w:numPr>
        <w:ind w:hanging="0" w:start="720" w:end="0"/>
        <w:outlineLvl w:val="0"/>
        <w:rPr/>
      </w:pPr>
      <w:r>
        <w:rPr/>
        <w:t xml:space="preserve">B.   Software </w:t>
      </w:r>
    </w:p>
    <w:p>
      <w:pPr>
        <w:pStyle w:val="BodyTextIndent"/>
        <w:numPr>
          <w:ilvl w:val="0"/>
          <w:numId w:val="9"/>
        </w:numPr>
        <w:rPr/>
      </w:pPr>
      <w:r>
        <w:rPr/>
        <w:t>1) Installation and testing of the Stack Manager Light (“SML”) and the Reports Manager Light (“RML”)</w:t>
      </w:r>
    </w:p>
    <w:p>
      <w:pPr>
        <w:pStyle w:val="BodyTextIndent"/>
        <w:numPr>
          <w:ilvl w:val="0"/>
          <w:numId w:val="0"/>
        </w:numPr>
        <w:ind w:hanging="0" w:start="1080" w:end="0"/>
        <w:outlineLvl w:val="0"/>
        <w:rPr/>
      </w:pPr>
      <w:r>
        <w:rPr/>
        <w:t xml:space="preserve">2) Technicians will ensure that The Pipeline Companies’ software requirements are sufficient  </w:t>
      </w:r>
    </w:p>
    <w:p>
      <w:pPr>
        <w:pStyle w:val="BodyTextIndent"/>
        <w:ind w:start="720" w:end="0"/>
        <w:rPr/>
      </w:pPr>
      <w:r>
        <w:rPr/>
      </w:r>
    </w:p>
    <w:p>
      <w:pPr>
        <w:pStyle w:val="BodyTextIndent"/>
        <w:numPr>
          <w:ilvl w:val="0"/>
          <w:numId w:val="16"/>
        </w:numPr>
        <w:rPr/>
      </w:pPr>
      <w:r>
        <w:rPr/>
        <w:t>Vertical Content</w:t>
      </w:r>
    </w:p>
    <w:p>
      <w:pPr>
        <w:pStyle w:val="BodyTextIndent"/>
        <w:tabs>
          <w:tab w:val="clear" w:pos="720"/>
          <w:tab w:val="left" w:pos="1080" w:leader="none"/>
        </w:tabs>
        <w:ind w:start="1080" w:end="0"/>
        <w:rPr/>
      </w:pPr>
      <w:r>
        <w:rPr/>
        <w:t xml:space="preserve">Will include a customized Home Page for Third Party Pipeline Capacity (“Pipeline Capacity Home Page”); may or may not include links to individual pipelines’ websites that contain tariffs (or references to tariffs) or other pertinent information </w:t>
      </w:r>
    </w:p>
    <w:p>
      <w:pPr>
        <w:pStyle w:val="BodyTextIndent"/>
        <w:ind w:start="720" w:end="0"/>
        <w:rPr/>
      </w:pPr>
      <w:r>
        <w:rPr/>
      </w:r>
    </w:p>
    <w:p>
      <w:pPr>
        <w:pStyle w:val="BodyTextIndent"/>
        <w:tabs>
          <w:tab w:val="clear" w:pos="720"/>
          <w:tab w:val="left" w:pos="900" w:leader="none"/>
          <w:tab w:val="left" w:pos="1080" w:leader="none"/>
        </w:tabs>
        <w:ind w:start="720" w:end="0"/>
        <w:rPr/>
      </w:pPr>
      <w:r>
        <w:rPr/>
        <w:t>D.   System Integration</w:t>
      </w:r>
    </w:p>
    <w:p>
      <w:pPr>
        <w:pStyle w:val="BodyTextIndent"/>
        <w:ind w:start="1080" w:end="0"/>
        <w:rPr/>
      </w:pPr>
      <w:r>
        <w:rPr/>
        <w:t>Technicians will ensure that bridging take place for internal pipelines (must adhere to existing EnronOnline standards or additional charges for upgrade may apply)</w:t>
      </w:r>
    </w:p>
    <w:p>
      <w:pPr>
        <w:pStyle w:val="BodyTextIndent"/>
        <w:ind w:start="720" w:end="0"/>
        <w:rPr/>
      </w:pPr>
      <w:r>
        <w:rPr/>
      </w:r>
    </w:p>
    <w:p>
      <w:pPr>
        <w:pStyle w:val="BodyTextIndent"/>
        <w:numPr>
          <w:ilvl w:val="0"/>
          <w:numId w:val="15"/>
        </w:numPr>
        <w:rPr/>
      </w:pPr>
      <w:r>
        <w:rPr/>
        <w:t>Products</w:t>
      </w:r>
    </w:p>
    <w:p>
      <w:pPr>
        <w:pStyle w:val="BodyTextIndent"/>
        <w:ind w:firstLine="375" w:start="720" w:end="0"/>
        <w:rPr/>
      </w:pPr>
      <w:r>
        <w:rPr/>
        <w:t>Includes up to three (3) product types and up to thirty (30) products</w:t>
      </w:r>
    </w:p>
    <w:p>
      <w:pPr>
        <w:pStyle w:val="BodyTextIndent"/>
        <w:rPr/>
      </w:pPr>
      <w:r>
        <w:rPr/>
        <w:tab/>
      </w:r>
    </w:p>
    <w:p>
      <w:pPr>
        <w:pStyle w:val="BodyTextIndent"/>
        <w:ind w:firstLine="360" w:end="0"/>
        <w:rPr/>
      </w:pPr>
      <w:r>
        <w:rPr/>
        <w:t>F.   Administration</w:t>
      </w:r>
    </w:p>
    <w:p>
      <w:pPr>
        <w:pStyle w:val="BodyTextIndent"/>
        <w:numPr>
          <w:ilvl w:val="0"/>
          <w:numId w:val="1"/>
        </w:numPr>
        <w:rPr/>
      </w:pPr>
      <w:r>
        <w:rPr/>
        <w:t xml:space="preserve">Includes setting up profiles for The Pipeline Companies’ counterparties (“Counterparties”) </w:t>
      </w:r>
    </w:p>
    <w:p>
      <w:pPr>
        <w:pStyle w:val="BodyTextIndent"/>
        <w:numPr>
          <w:ilvl w:val="0"/>
          <w:numId w:val="1"/>
        </w:numPr>
        <w:rPr/>
      </w:pPr>
      <w:r>
        <w:rPr/>
        <w:t xml:space="preserve">Counterparties will be given a unique User ID and temporary password to access EnronOnline </w:t>
      </w:r>
    </w:p>
    <w:p>
      <w:pPr>
        <w:pStyle w:val="BodyTextIndent"/>
        <w:numPr>
          <w:ilvl w:val="0"/>
          <w:numId w:val="1"/>
        </w:numPr>
        <w:rPr/>
      </w:pPr>
      <w:r>
        <w:rPr/>
        <w:t>Initial setup includes up to two (2) User Id’s per Counterparty. Users will be given a unique User ID and temporary password to access both EnronOnline as well as the SML and RML internal applications</w:t>
      </w:r>
    </w:p>
    <w:p>
      <w:pPr>
        <w:pStyle w:val="BodyTextIndent"/>
        <w:numPr>
          <w:ilvl w:val="0"/>
          <w:numId w:val="1"/>
        </w:numPr>
        <w:rPr/>
      </w:pPr>
      <w:r>
        <w:rPr/>
        <w:t>Includes setting up profiles and granting access for The Pipeline Companies’ internal users</w:t>
        <w:tab/>
        <w:tab/>
      </w:r>
    </w:p>
    <w:p>
      <w:pPr>
        <w:pStyle w:val="BodyTextIndent"/>
        <w:ind w:firstLine="720" w:start="0" w:end="0"/>
        <w:rPr/>
      </w:pPr>
      <w:r>
        <w:rPr/>
      </w:r>
    </w:p>
    <w:p>
      <w:pPr>
        <w:pStyle w:val="BodyTextIndent"/>
        <w:ind w:firstLine="720" w:start="0" w:end="0"/>
        <w:rPr/>
      </w:pPr>
      <w:r>
        <w:rPr/>
        <w:t>G.  Training</w:t>
      </w:r>
    </w:p>
    <w:p>
      <w:pPr>
        <w:pStyle w:val="BodyTextIndent"/>
        <w:ind w:start="0" w:end="0"/>
        <w:rPr/>
      </w:pPr>
      <w:r>
        <w:rPr/>
        <w:tab/>
        <w:t xml:space="preserve">      1) Includes training for up to three (3) users</w:t>
      </w:r>
    </w:p>
    <w:p>
      <w:pPr>
        <w:pStyle w:val="BodyTextIndent"/>
        <w:ind w:start="0" w:end="0"/>
        <w:rPr/>
      </w:pPr>
      <w:r>
        <w:rPr>
          <w:rFonts w:eastAsia="Arial"/>
        </w:rPr>
        <w:t xml:space="preserve">                   </w:t>
      </w:r>
      <w:r>
        <w:rPr/>
        <w:t xml:space="preserve">2) Includes Trader/User Manuals </w:t>
      </w:r>
    </w:p>
    <w:p>
      <w:pPr>
        <w:pStyle w:val="BodyTextIndent"/>
        <w:rPr/>
      </w:pPr>
      <w:r>
        <w:rPr/>
      </w:r>
    </w:p>
    <w:p>
      <w:pPr>
        <w:pStyle w:val="Normal"/>
        <w:ind w:start="360" w:end="0"/>
        <w:rPr>
          <w:rFonts w:ascii="Arial" w:hAnsi="Arial" w:cs="Arial"/>
        </w:rPr>
      </w:pPr>
      <w:r>
        <w:rPr>
          <w:rFonts w:cs="Arial" w:ascii="Arial" w:hAnsi="Arial"/>
        </w:rPr>
        <w:t>II. Support Services/Maintenance: An annual maintenance fee will be charged from the time that the first product is activated</w:t>
      </w:r>
    </w:p>
    <w:p>
      <w:pPr>
        <w:pStyle w:val="Normal"/>
        <w:ind w:start="360" w:end="0"/>
        <w:rPr>
          <w:rFonts w:ascii="Arial" w:hAnsi="Arial" w:cs="Arial"/>
        </w:rPr>
      </w:pPr>
      <w:r>
        <w:rPr>
          <w:rFonts w:cs="Arial" w:ascii="Arial" w:hAnsi="Arial"/>
        </w:rPr>
        <w:tab/>
        <w:tab/>
        <w:t>Areas covered:</w:t>
      </w:r>
    </w:p>
    <w:p>
      <w:pPr>
        <w:pStyle w:val="Normal"/>
        <w:numPr>
          <w:ilvl w:val="0"/>
          <w:numId w:val="5"/>
        </w:numPr>
        <w:rPr>
          <w:rFonts w:ascii="Arial" w:hAnsi="Arial" w:cs="Arial"/>
        </w:rPr>
      </w:pPr>
      <w:r>
        <w:rPr>
          <w:rFonts w:cs="Arial" w:ascii="Arial" w:hAnsi="Arial"/>
        </w:rPr>
        <w:t>IT support (software and hardware)</w:t>
      </w:r>
    </w:p>
    <w:p>
      <w:pPr>
        <w:pStyle w:val="Normal"/>
        <w:numPr>
          <w:ilvl w:val="0"/>
          <w:numId w:val="5"/>
        </w:numPr>
        <w:rPr>
          <w:rFonts w:ascii="Arial" w:hAnsi="Arial" w:cs="Arial"/>
        </w:rPr>
      </w:pPr>
      <w:r>
        <w:rPr>
          <w:rFonts w:cs="Arial" w:ascii="Arial" w:hAnsi="Arial"/>
        </w:rPr>
        <w:t xml:space="preserve">Product Control Group (“PCG”) </w:t>
      </w:r>
    </w:p>
    <w:p>
      <w:pPr>
        <w:pStyle w:val="Normal"/>
        <w:numPr>
          <w:ilvl w:val="0"/>
          <w:numId w:val="5"/>
        </w:numPr>
        <w:rPr>
          <w:rFonts w:ascii="Arial" w:hAnsi="Arial" w:cs="Arial"/>
        </w:rPr>
      </w:pPr>
      <w:r>
        <w:rPr>
          <w:rFonts w:cs="Arial" w:ascii="Arial" w:hAnsi="Arial"/>
        </w:rPr>
        <w:t xml:space="preserve">Help Desk </w:t>
      </w:r>
    </w:p>
    <w:p>
      <w:pPr>
        <w:pStyle w:val="Normal"/>
        <w:numPr>
          <w:ilvl w:val="0"/>
          <w:numId w:val="5"/>
        </w:numPr>
        <w:rPr>
          <w:rFonts w:ascii="Arial" w:hAnsi="Arial" w:cs="Arial"/>
        </w:rPr>
      </w:pPr>
      <w:r>
        <w:rPr>
          <w:rFonts w:cs="Arial" w:ascii="Arial" w:hAnsi="Arial"/>
        </w:rPr>
        <w:t xml:space="preserve">Vertical content </w:t>
      </w:r>
    </w:p>
    <w:p>
      <w:pPr>
        <w:pStyle w:val="Normal"/>
        <w:numPr>
          <w:ilvl w:val="0"/>
          <w:numId w:val="5"/>
        </w:numPr>
        <w:rPr>
          <w:rFonts w:ascii="Arial" w:hAnsi="Arial" w:cs="Arial"/>
        </w:rPr>
      </w:pPr>
      <w:r>
        <w:rPr>
          <w:rFonts w:cs="Arial" w:ascii="Arial" w:hAnsi="Arial"/>
        </w:rPr>
        <w:t xml:space="preserve">Core Maintenance: Includes a basic annual fee for maintenance of up to three (3) product types, thirty (30) total products and two (2) user ID’s </w:t>
      </w:r>
    </w:p>
    <w:p>
      <w:pPr>
        <w:pStyle w:val="BodyTextIndent"/>
        <w:rPr>
          <w:rFonts w:ascii="Arial" w:hAnsi="Arial" w:cs="Arial"/>
        </w:rPr>
      </w:pPr>
      <w:r>
        <w:rPr>
          <w:rFonts w:cs="Arial"/>
        </w:rPr>
      </w:r>
    </w:p>
    <w:p>
      <w:pPr>
        <w:pStyle w:val="BodyTextIndent"/>
        <w:rPr/>
      </w:pPr>
      <w:r>
        <w:rPr/>
        <w:t xml:space="preserve">III. Transaction Charge: A charge per transaction will apply to each Pipeline Company and cumulative charges will be invoiced on a monthly basis. </w:t>
      </w:r>
    </w:p>
    <w:p>
      <w:pPr>
        <w:pStyle w:val="BodyTextIndent"/>
        <w:rPr/>
      </w:pPr>
      <w:r>
        <w:rPr/>
      </w:r>
    </w:p>
    <w:p>
      <w:pPr>
        <w:pStyle w:val="BodyTextIndent"/>
        <w:rPr/>
      </w:pPr>
      <w:r>
        <w:rPr/>
        <w:t xml:space="preserve">IV. Supplemental: Charges will be determined on a per case basis </w:t>
      </w:r>
    </w:p>
    <w:p>
      <w:pPr>
        <w:pStyle w:val="Normal"/>
        <w:rPr/>
      </w:pPr>
      <w:r>
        <w:rPr>
          <w:rFonts w:cs="Arial" w:ascii="Arial" w:hAnsi="Arial"/>
          <w:b/>
          <w:sz w:val="24"/>
        </w:rPr>
        <w:tab/>
      </w:r>
      <w:r>
        <w:rPr>
          <w:rFonts w:cs="Arial" w:ascii="Arial" w:hAnsi="Arial"/>
        </w:rPr>
        <w:t>A. Hardware (including upgrades)</w:t>
      </w:r>
    </w:p>
    <w:p>
      <w:pPr>
        <w:pStyle w:val="Normal"/>
        <w:ind w:start="720" w:end="0"/>
        <w:rPr>
          <w:rFonts w:ascii="Arial" w:hAnsi="Arial" w:cs="Arial"/>
        </w:rPr>
      </w:pPr>
      <w:r>
        <w:rPr>
          <w:rFonts w:cs="Arial" w:ascii="Arial" w:hAnsi="Arial"/>
        </w:rPr>
        <w:t>B. Software</w:t>
      </w:r>
    </w:p>
    <w:p>
      <w:pPr>
        <w:pStyle w:val="Normal"/>
        <w:ind w:start="720" w:end="0"/>
        <w:rPr>
          <w:rFonts w:ascii="Arial" w:hAnsi="Arial" w:cs="Arial"/>
        </w:rPr>
      </w:pPr>
      <w:r>
        <w:rPr>
          <w:rFonts w:cs="Arial" w:ascii="Arial" w:hAnsi="Arial"/>
        </w:rPr>
        <w:t>C. Products: Additional pre-determined fee for each increment of one (1) product type and up to ten (10) products</w:t>
      </w:r>
    </w:p>
    <w:p>
      <w:pPr>
        <w:pStyle w:val="Normal"/>
        <w:numPr>
          <w:ilvl w:val="0"/>
          <w:numId w:val="16"/>
        </w:numPr>
        <w:rPr>
          <w:rFonts w:ascii="Arial" w:hAnsi="Arial" w:cs="Arial"/>
        </w:rPr>
      </w:pPr>
      <w:r>
        <w:rPr>
          <w:rFonts w:cs="Arial" w:ascii="Arial" w:hAnsi="Arial"/>
        </w:rPr>
        <w:t>Training and Support</w:t>
      </w:r>
    </w:p>
    <w:p>
      <w:pPr>
        <w:pStyle w:val="Normal"/>
        <w:numPr>
          <w:ilvl w:val="0"/>
          <w:numId w:val="16"/>
        </w:numPr>
        <w:rPr>
          <w:rFonts w:ascii="Arial" w:hAnsi="Arial" w:cs="Arial"/>
        </w:rPr>
      </w:pPr>
      <w:r>
        <w:rPr>
          <w:rFonts w:cs="Arial" w:ascii="Arial" w:hAnsi="Arial"/>
        </w:rPr>
        <w:t>Other services</w:t>
      </w:r>
    </w:p>
    <w:p>
      <w:pPr>
        <w:pStyle w:val="Normal"/>
        <w:ind w:start="360" w:end="0"/>
        <w:rPr>
          <w:rFonts w:ascii="Arial" w:hAnsi="Arial" w:cs="Arial"/>
        </w:rPr>
      </w:pPr>
      <w:r>
        <w:rPr>
          <w:rFonts w:cs="Arial" w:ascii="Arial" w:hAnsi="Arial"/>
        </w:rPr>
      </w:r>
    </w:p>
    <w:p>
      <w:pPr>
        <w:pStyle w:val="Normal"/>
        <w:tabs>
          <w:tab w:val="clear" w:pos="720"/>
          <w:tab w:val="left" w:pos="360" w:leader="none"/>
        </w:tabs>
        <w:rPr>
          <w:rFonts w:ascii="Arial" w:hAnsi="Arial" w:cs="Arial"/>
        </w:rPr>
      </w:pPr>
      <w:r>
        <w:rPr>
          <w:rFonts w:cs="Arial" w:ascii="Arial" w:hAnsi="Arial"/>
        </w:rPr>
      </w:r>
    </w:p>
    <w:p>
      <w:pPr>
        <w:pStyle w:val="Normal"/>
        <w:tabs>
          <w:tab w:val="clear" w:pos="720"/>
          <w:tab w:val="left" w:pos="360" w:leader="none"/>
        </w:tabs>
        <w:rPr>
          <w:rFonts w:ascii="Arial" w:hAnsi="Arial" w:cs="Arial"/>
        </w:rPr>
      </w:pPr>
      <w:r>
        <w:rPr>
          <w:rFonts w:cs="Arial" w:ascii="Arial" w:hAnsi="Arial"/>
        </w:rPr>
        <w:tab/>
        <w:t>V. Additional Services: Charges will be determined on a per case basis</w:t>
      </w:r>
    </w:p>
    <w:p>
      <w:pPr>
        <w:pStyle w:val="Normal"/>
        <w:numPr>
          <w:ilvl w:val="0"/>
          <w:numId w:val="14"/>
        </w:numPr>
        <w:rPr>
          <w:rFonts w:ascii="Arial" w:hAnsi="Arial" w:cs="Arial"/>
          <w:i/>
          <w:i/>
        </w:rPr>
      </w:pPr>
      <w:r>
        <w:rPr>
          <w:rFonts w:cs="Arial" w:ascii="Arial" w:hAnsi="Arial"/>
        </w:rPr>
        <w:t>Direct T-1 broadband connection linking Enron’s system to The Pipeline Company’s system</w:t>
      </w:r>
    </w:p>
    <w:p>
      <w:pPr>
        <w:pStyle w:val="Normal"/>
        <w:numPr>
          <w:ilvl w:val="0"/>
          <w:numId w:val="14"/>
        </w:numPr>
        <w:rPr>
          <w:rFonts w:ascii="Arial" w:hAnsi="Arial" w:cs="Arial"/>
          <w:i/>
          <w:i/>
        </w:rPr>
      </w:pPr>
      <w:r>
        <w:rPr>
          <w:rFonts w:cs="Arial" w:ascii="Arial" w:hAnsi="Arial"/>
        </w:rPr>
        <w:t xml:space="preserve">Bridge setup: covers bridging of completed transactions </w:t>
      </w:r>
      <w:r>
        <w:rPr>
          <w:rFonts w:cs="Arial" w:ascii="Arial" w:hAnsi="Arial"/>
          <w:i/>
        </w:rPr>
        <w:t xml:space="preserve">to internal pipelines </w:t>
      </w:r>
    </w:p>
    <w:p>
      <w:pPr>
        <w:pStyle w:val="Normal"/>
        <w:numPr>
          <w:ilvl w:val="0"/>
          <w:numId w:val="14"/>
        </w:numPr>
        <w:rPr>
          <w:rFonts w:ascii="Arial" w:hAnsi="Arial" w:cs="Arial"/>
          <w:i/>
          <w:i/>
        </w:rPr>
      </w:pPr>
      <w:r>
        <w:rPr>
          <w:rFonts w:cs="Arial" w:ascii="Arial" w:hAnsi="Arial"/>
        </w:rPr>
        <w:t>EnronOnline marketing materials and consulting services</w:t>
      </w:r>
    </w:p>
    <w:p>
      <w:pPr>
        <w:pStyle w:val="Normal"/>
        <w:numPr>
          <w:ilvl w:val="0"/>
          <w:numId w:val="14"/>
        </w:numPr>
        <w:rPr>
          <w:rFonts w:ascii="Arial" w:hAnsi="Arial" w:cs="Arial"/>
          <w:i/>
          <w:i/>
        </w:rPr>
      </w:pPr>
      <w:r>
        <w:rPr>
          <w:rFonts w:cs="Arial" w:ascii="Arial" w:hAnsi="Arial"/>
        </w:rPr>
        <w:t xml:space="preserve">Other marketable services and products: advertising, automated credit and clearing services, licenses for additional EnronOnline technologies (modules), additional content, content management services, online streaming media events, ect.   </w:t>
      </w:r>
    </w:p>
    <w:p>
      <w:pPr>
        <w:pStyle w:val="Normal"/>
        <w:rPr>
          <w:rFonts w:ascii="Arial" w:hAnsi="Arial" w:cs="Arial"/>
          <w:b/>
          <w:i/>
          <w:i/>
          <w:sz w:val="24"/>
        </w:rPr>
      </w:pPr>
      <w:r>
        <w:rPr>
          <w:rFonts w:cs="Arial" w:ascii="Arial" w:hAnsi="Arial"/>
          <w:b/>
          <w:i/>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Additional: General Terms and Agreement</w:t>
      </w:r>
    </w:p>
    <w:p>
      <w:pPr>
        <w:pStyle w:val="Normal"/>
        <w:tabs>
          <w:tab w:val="clear" w:pos="720"/>
          <w:tab w:val="left" w:pos="90" w:leader="none"/>
        </w:tabs>
        <w:rPr>
          <w:rFonts w:ascii="Arial" w:hAnsi="Arial" w:cs="Arial"/>
          <w:b/>
          <w:sz w:val="24"/>
        </w:rPr>
      </w:pPr>
      <w:r>
        <w:rPr>
          <w:rFonts w:cs="Arial" w:ascii="Arial" w:hAnsi="Arial"/>
          <w:b/>
          <w:sz w:val="24"/>
        </w:rPr>
      </w:r>
    </w:p>
    <w:p>
      <w:pPr>
        <w:pStyle w:val="Normal"/>
        <w:numPr>
          <w:ilvl w:val="0"/>
          <w:numId w:val="4"/>
        </w:numPr>
        <w:tabs>
          <w:tab w:val="clear" w:pos="720"/>
          <w:tab w:val="left" w:pos="90" w:leader="none"/>
        </w:tabs>
        <w:rPr>
          <w:rFonts w:ascii="Arial" w:hAnsi="Arial" w:cs="Arial"/>
          <w:b/>
          <w:sz w:val="24"/>
        </w:rPr>
      </w:pPr>
      <w:r>
        <w:rPr>
          <w:rFonts w:cs="Arial" w:ascii="Arial" w:hAnsi="Arial"/>
          <w:b/>
          <w:sz w:val="24"/>
        </w:rPr>
        <w:t>Transaction Information:</w:t>
      </w:r>
    </w:p>
    <w:p>
      <w:pPr>
        <w:pStyle w:val="Normal"/>
        <w:ind w:start="360" w:end="0"/>
        <w:rPr>
          <w:rFonts w:ascii="Arial" w:hAnsi="Arial" w:cs="Arial"/>
        </w:rPr>
      </w:pPr>
      <w:r>
        <w:rPr>
          <w:rFonts w:cs="Arial" w:ascii="Arial" w:hAnsi="Arial"/>
        </w:rPr>
        <w:t xml:space="preserve">User accepts full responsibility for the prices and volume posted on the website. </w:t>
      </w:r>
    </w:p>
    <w:p>
      <w:pPr>
        <w:pStyle w:val="Normal"/>
        <w:numPr>
          <w:ilvl w:val="0"/>
          <w:numId w:val="13"/>
        </w:numPr>
        <w:tabs>
          <w:tab w:val="left" w:pos="720" w:leader="none"/>
        </w:tabs>
        <w:ind w:hanging="360" w:start="720" w:end="0"/>
        <w:rPr>
          <w:rFonts w:ascii="Arial" w:hAnsi="Arial" w:cs="Arial"/>
        </w:rPr>
      </w:pPr>
      <w:r>
        <w:rPr>
          <w:rFonts w:cs="Arial" w:ascii="Arial" w:hAnsi="Arial"/>
        </w:rPr>
        <w:t>Trades</w:t>
      </w:r>
    </w:p>
    <w:p>
      <w:pPr>
        <w:pStyle w:val="Normal"/>
        <w:numPr>
          <w:ilvl w:val="0"/>
          <w:numId w:val="13"/>
        </w:numPr>
        <w:tabs>
          <w:tab w:val="clear" w:pos="720"/>
          <w:tab w:val="left" w:pos="1080" w:leader="none"/>
        </w:tabs>
        <w:ind w:hanging="360" w:start="1080" w:end="0"/>
        <w:rPr>
          <w:rFonts w:ascii="Arial" w:hAnsi="Arial" w:cs="Arial"/>
        </w:rPr>
      </w:pPr>
      <w:r>
        <w:rPr>
          <w:rFonts w:cs="Arial" w:ascii="Arial" w:hAnsi="Arial"/>
        </w:rPr>
        <w:t>Types of Trades</w:t>
      </w:r>
    </w:p>
    <w:p>
      <w:pPr>
        <w:pStyle w:val="Normal"/>
        <w:numPr>
          <w:ilvl w:val="0"/>
          <w:numId w:val="8"/>
        </w:numPr>
        <w:tabs>
          <w:tab w:val="clear" w:pos="720"/>
          <w:tab w:val="left" w:pos="1440" w:leader="none"/>
        </w:tabs>
        <w:ind w:hanging="360" w:start="1440" w:end="0"/>
        <w:rPr>
          <w:rFonts w:ascii="Arial" w:hAnsi="Arial" w:cs="Arial"/>
        </w:rPr>
      </w:pPr>
      <w:r>
        <w:rPr>
          <w:rFonts w:cs="Arial" w:ascii="Arial" w:hAnsi="Arial"/>
        </w:rPr>
        <w:t>Initially, The Pipeline Companies will only be able to sell their capacity on The Website, thus they can only enter offer prices.</w:t>
      </w:r>
    </w:p>
    <w:p>
      <w:pPr>
        <w:pStyle w:val="Normal"/>
        <w:numPr>
          <w:ilvl w:val="0"/>
          <w:numId w:val="8"/>
        </w:numPr>
        <w:tabs>
          <w:tab w:val="clear" w:pos="720"/>
          <w:tab w:val="left" w:pos="1440" w:leader="none"/>
        </w:tabs>
        <w:ind w:hanging="360" w:start="1440" w:end="0"/>
        <w:rPr>
          <w:rFonts w:ascii="Arial" w:hAnsi="Arial" w:cs="Arial"/>
        </w:rPr>
      </w:pPr>
      <w:r>
        <w:rPr>
          <w:rFonts w:cs="Arial" w:ascii="Arial" w:hAnsi="Arial"/>
        </w:rPr>
        <w:t xml:space="preserve">Future releases may offer Secondary Pipeline Capacity Release (“Capacity Release”) </w:t>
      </w:r>
    </w:p>
    <w:p>
      <w:pPr>
        <w:pStyle w:val="Normal"/>
        <w:numPr>
          <w:ilvl w:val="0"/>
          <w:numId w:val="13"/>
        </w:numPr>
        <w:tabs>
          <w:tab w:val="left" w:pos="720" w:leader="none"/>
        </w:tabs>
        <w:ind w:hanging="360" w:start="720" w:end="0"/>
        <w:rPr>
          <w:rFonts w:ascii="Arial" w:hAnsi="Arial" w:cs="Arial"/>
        </w:rPr>
      </w:pPr>
      <w:r>
        <w:rPr>
          <w:rFonts w:cs="Arial" w:ascii="Arial" w:hAnsi="Arial"/>
        </w:rPr>
        <w:t xml:space="preserve">Transaction Procedures </w:t>
      </w:r>
    </w:p>
    <w:p>
      <w:pPr>
        <w:pStyle w:val="Normal"/>
        <w:numPr>
          <w:ilvl w:val="0"/>
          <w:numId w:val="13"/>
        </w:numPr>
        <w:tabs>
          <w:tab w:val="left" w:pos="720" w:leader="none"/>
        </w:tabs>
        <w:ind w:hanging="360" w:start="720" w:end="0"/>
        <w:rPr>
          <w:rFonts w:ascii="Arial" w:hAnsi="Arial" w:cs="Arial"/>
        </w:rPr>
      </w:pPr>
      <w:r>
        <w:rPr>
          <w:rFonts w:cs="Arial" w:ascii="Arial" w:hAnsi="Arial"/>
        </w:rPr>
        <w:t>Terms of Trading:</w:t>
      </w:r>
    </w:p>
    <w:p>
      <w:pPr>
        <w:pStyle w:val="BodyTextIndent2"/>
        <w:numPr>
          <w:ilvl w:val="0"/>
          <w:numId w:val="18"/>
        </w:numPr>
        <w:tabs>
          <w:tab w:val="clear" w:pos="720"/>
          <w:tab w:val="left" w:pos="1080" w:leader="none"/>
        </w:tabs>
        <w:ind w:hanging="360" w:start="1080" w:end="0"/>
        <w:rPr/>
      </w:pPr>
      <w:r>
        <w:rPr/>
        <w:t>The Pipelines that enter products and the customers that complete transactions on EnronOnline must agree to the Pipeline Trading Agreement and the GTC (or tariff) for that product.</w:t>
      </w:r>
    </w:p>
    <w:p>
      <w:pPr>
        <w:pStyle w:val="BodyTextIndent"/>
        <w:numPr>
          <w:ilvl w:val="0"/>
          <w:numId w:val="3"/>
        </w:numPr>
        <w:tabs>
          <w:tab w:val="clear" w:pos="720"/>
          <w:tab w:val="left" w:pos="900" w:leader="none"/>
          <w:tab w:val="left" w:pos="1080" w:leader="none"/>
        </w:tabs>
        <w:ind w:hanging="360" w:start="1080" w:end="0"/>
        <w:rPr/>
      </w:pPr>
      <w:r>
        <w:rPr/>
        <w:t xml:space="preserve">Enron may not be the principal in all transactions and The Pipeline Companies will manage their own credit lines and will inform and authorize Enron to allow their counterparties to execute transactions on The Website. </w:t>
      </w:r>
    </w:p>
    <w:p>
      <w:pPr>
        <w:pStyle w:val="BodyTextIndent2"/>
        <w:numPr>
          <w:ilvl w:val="0"/>
          <w:numId w:val="11"/>
        </w:numPr>
        <w:tabs>
          <w:tab w:val="left" w:pos="720" w:leader="none"/>
        </w:tabs>
        <w:ind w:hanging="360" w:start="720" w:end="0"/>
        <w:rPr/>
      </w:pPr>
      <w:r>
        <w:rPr/>
        <w:t>Confirmations</w:t>
      </w:r>
    </w:p>
    <w:p>
      <w:pPr>
        <w:pStyle w:val="Normal"/>
        <w:numPr>
          <w:ilvl w:val="0"/>
          <w:numId w:val="13"/>
        </w:numPr>
        <w:tabs>
          <w:tab w:val="left" w:pos="720" w:leader="none"/>
        </w:tabs>
        <w:ind w:hanging="360" w:start="720" w:end="0"/>
        <w:rPr>
          <w:rFonts w:ascii="Arial" w:hAnsi="Arial" w:cs="Arial"/>
        </w:rPr>
      </w:pPr>
      <w:r>
        <w:rPr>
          <w:rFonts w:cs="Arial" w:ascii="Arial" w:hAnsi="Arial"/>
        </w:rPr>
        <w:t>Disclosure of agreed Transactions</w:t>
      </w:r>
    </w:p>
    <w:p>
      <w:pPr>
        <w:pStyle w:val="Normal"/>
        <w:numPr>
          <w:ilvl w:val="0"/>
          <w:numId w:val="13"/>
        </w:numPr>
        <w:tabs>
          <w:tab w:val="left" w:pos="720" w:leader="none"/>
        </w:tabs>
        <w:ind w:hanging="360" w:start="720" w:end="0"/>
        <w:rPr>
          <w:rFonts w:ascii="Arial" w:hAnsi="Arial" w:cs="Arial"/>
        </w:rPr>
      </w:pPr>
      <w:r>
        <w:rPr>
          <w:rFonts w:cs="Arial" w:ascii="Arial" w:hAnsi="Arial"/>
        </w:rPr>
        <w:t>Electronic Records</w:t>
      </w:r>
    </w:p>
    <w:p>
      <w:pPr>
        <w:pStyle w:val="Normal"/>
        <w:numPr>
          <w:ilvl w:val="0"/>
          <w:numId w:val="13"/>
        </w:numPr>
        <w:tabs>
          <w:tab w:val="left" w:pos="720" w:leader="none"/>
        </w:tabs>
        <w:ind w:hanging="360" w:start="720" w:end="0"/>
        <w:rPr>
          <w:rFonts w:ascii="Arial" w:hAnsi="Arial" w:cs="Arial"/>
        </w:rPr>
      </w:pPr>
      <w:r>
        <w:rPr>
          <w:rFonts w:cs="Arial" w:ascii="Arial" w:hAnsi="Arial"/>
        </w:rPr>
        <w:t>Payments and Taxes</w:t>
      </w:r>
    </w:p>
    <w:p>
      <w:pPr>
        <w:pStyle w:val="Normal"/>
        <w:rPr>
          <w:rFonts w:ascii="Arial" w:hAnsi="Arial" w:cs="Arial"/>
          <w:b/>
        </w:rPr>
      </w:pPr>
      <w:r>
        <w:rPr>
          <w:rFonts w:cs="Arial" w:ascii="Arial" w:hAnsi="Arial"/>
          <w:b/>
        </w:rPr>
      </w:r>
    </w:p>
    <w:p>
      <w:pPr>
        <w:pStyle w:val="Normal"/>
        <w:numPr>
          <w:ilvl w:val="0"/>
          <w:numId w:val="17"/>
        </w:numPr>
        <w:rPr>
          <w:rFonts w:ascii="Arial" w:hAnsi="Arial" w:cs="Arial"/>
          <w:b/>
          <w:sz w:val="24"/>
        </w:rPr>
      </w:pPr>
      <w:r>
        <w:rPr>
          <w:rFonts w:cs="Arial" w:ascii="Arial" w:hAnsi="Arial"/>
          <w:b/>
          <w:sz w:val="24"/>
        </w:rPr>
        <w:t>Obligations and Deliveries</w:t>
      </w:r>
    </w:p>
    <w:p>
      <w:pPr>
        <w:pStyle w:val="Normal"/>
        <w:rPr>
          <w:rFonts w:ascii="Arial" w:hAnsi="Arial" w:cs="Arial"/>
          <w:b/>
          <w:sz w:val="24"/>
        </w:rPr>
      </w:pPr>
      <w:r>
        <w:rPr>
          <w:rFonts w:cs="Arial" w:ascii="Arial" w:hAnsi="Arial"/>
          <w:b/>
          <w:sz w:val="24"/>
        </w:rPr>
      </w:r>
    </w:p>
    <w:p>
      <w:pPr>
        <w:pStyle w:val="Normal"/>
        <w:numPr>
          <w:ilvl w:val="0"/>
          <w:numId w:val="13"/>
        </w:numPr>
        <w:rPr>
          <w:rFonts w:ascii="Arial" w:hAnsi="Arial" w:cs="Arial"/>
        </w:rPr>
      </w:pPr>
      <w:r>
        <w:rPr>
          <w:rFonts w:cs="Arial" w:ascii="Arial" w:hAnsi="Arial"/>
          <w:b/>
          <w:sz w:val="24"/>
        </w:rPr>
        <w:t>Compliance with Laws:</w:t>
      </w:r>
    </w:p>
    <w:p>
      <w:pPr>
        <w:pStyle w:val="Normal"/>
        <w:numPr>
          <w:ilvl w:val="0"/>
          <w:numId w:val="13"/>
        </w:numPr>
        <w:tabs>
          <w:tab w:val="left" w:pos="720" w:leader="none"/>
        </w:tabs>
        <w:ind w:hanging="360" w:start="720" w:end="0"/>
        <w:rPr>
          <w:rFonts w:ascii="Arial" w:hAnsi="Arial" w:cs="Arial"/>
        </w:rPr>
      </w:pPr>
      <w:r>
        <w:rPr>
          <w:rFonts w:cs="Arial" w:ascii="Arial" w:hAnsi="Arial"/>
        </w:rPr>
        <w:t>Governing law</w:t>
      </w:r>
    </w:p>
    <w:p>
      <w:pPr>
        <w:pStyle w:val="Normal"/>
        <w:numPr>
          <w:ilvl w:val="0"/>
          <w:numId w:val="19"/>
        </w:numPr>
        <w:tabs>
          <w:tab w:val="left" w:pos="720" w:leader="none"/>
        </w:tabs>
        <w:ind w:hanging="360" w:start="720" w:end="0"/>
        <w:rPr>
          <w:rFonts w:ascii="Arial" w:hAnsi="Arial" w:cs="Arial"/>
        </w:rPr>
      </w:pPr>
      <w:r>
        <w:rPr>
          <w:rFonts w:cs="Arial" w:ascii="Arial" w:hAnsi="Arial"/>
        </w:rPr>
        <w:t>Trade Restrictions</w:t>
      </w:r>
    </w:p>
    <w:p>
      <w:pPr>
        <w:pStyle w:val="Normal"/>
        <w:numPr>
          <w:ilvl w:val="0"/>
          <w:numId w:val="7"/>
        </w:numPr>
        <w:tabs>
          <w:tab w:val="left" w:pos="720" w:leader="none"/>
        </w:tabs>
        <w:ind w:hanging="360" w:start="720" w:end="0"/>
        <w:rPr>
          <w:rFonts w:ascii="Arial" w:hAnsi="Arial" w:cs="Arial"/>
        </w:rPr>
      </w:pPr>
      <w:r>
        <w:rPr>
          <w:rFonts w:cs="Arial" w:ascii="Arial" w:hAnsi="Arial"/>
        </w:rPr>
        <w:t>FERC and Tariffs</w:t>
      </w:r>
    </w:p>
    <w:p>
      <w:pPr>
        <w:pStyle w:val="Normal"/>
        <w:ind w:start="360" w:end="0"/>
        <w:rPr>
          <w:rFonts w:ascii="Arial" w:hAnsi="Arial" w:cs="Arial"/>
        </w:rPr>
      </w:pPr>
      <w:r>
        <w:rPr>
          <w:rFonts w:cs="Arial" w:ascii="Arial" w:hAnsi="Arial"/>
        </w:rPr>
      </w:r>
    </w:p>
    <w:p>
      <w:pPr>
        <w:pStyle w:val="Normal"/>
        <w:numPr>
          <w:ilvl w:val="0"/>
          <w:numId w:val="13"/>
        </w:numPr>
        <w:rPr>
          <w:rFonts w:ascii="Arial" w:hAnsi="Arial" w:cs="Arial"/>
          <w:b/>
          <w:sz w:val="24"/>
        </w:rPr>
      </w:pPr>
      <w:r>
        <w:rPr>
          <w:rFonts w:cs="Arial" w:ascii="Arial" w:hAnsi="Arial"/>
          <w:b/>
          <w:sz w:val="24"/>
        </w:rPr>
        <w:t>Disputes and Remedies:</w:t>
      </w:r>
    </w:p>
    <w:p>
      <w:pPr>
        <w:pStyle w:val="Normal"/>
        <w:numPr>
          <w:ilvl w:val="0"/>
          <w:numId w:val="7"/>
        </w:numPr>
        <w:tabs>
          <w:tab w:val="left" w:pos="720" w:leader="none"/>
        </w:tabs>
        <w:ind w:hanging="360" w:start="720" w:end="0"/>
        <w:rPr>
          <w:rFonts w:ascii="Arial" w:hAnsi="Arial" w:cs="Arial"/>
        </w:rPr>
      </w:pPr>
      <w:r>
        <w:rPr>
          <w:rFonts w:cs="Arial" w:ascii="Arial" w:hAnsi="Arial"/>
        </w:rPr>
        <w:t>Governing Law</w:t>
      </w:r>
    </w:p>
    <w:p>
      <w:pPr>
        <w:pStyle w:val="Normal"/>
        <w:numPr>
          <w:ilvl w:val="0"/>
          <w:numId w:val="7"/>
        </w:numPr>
        <w:tabs>
          <w:tab w:val="left" w:pos="720" w:leader="none"/>
        </w:tabs>
        <w:ind w:hanging="360" w:start="720" w:end="0"/>
        <w:rPr>
          <w:rFonts w:ascii="Arial" w:hAnsi="Arial" w:cs="Arial"/>
        </w:rPr>
      </w:pPr>
      <w:r>
        <w:rPr>
          <w:rFonts w:cs="Arial" w:ascii="Arial" w:hAnsi="Arial"/>
        </w:rPr>
        <w:t>Arbitration</w:t>
      </w:r>
    </w:p>
    <w:p>
      <w:pPr>
        <w:pStyle w:val="Normal"/>
        <w:numPr>
          <w:ilvl w:val="0"/>
          <w:numId w:val="7"/>
        </w:numPr>
        <w:tabs>
          <w:tab w:val="left" w:pos="720" w:leader="none"/>
        </w:tabs>
        <w:ind w:hanging="360" w:start="720" w:end="0"/>
        <w:rPr>
          <w:rFonts w:ascii="Arial" w:hAnsi="Arial" w:cs="Arial"/>
        </w:rPr>
      </w:pPr>
      <w:r>
        <w:rPr>
          <w:rFonts w:cs="Arial" w:ascii="Arial" w:hAnsi="Arial"/>
        </w:rPr>
        <w:t>Bankruptcy</w:t>
      </w:r>
    </w:p>
    <w:p>
      <w:pPr>
        <w:pStyle w:val="Normal"/>
        <w:numPr>
          <w:ilvl w:val="0"/>
          <w:numId w:val="7"/>
        </w:numPr>
        <w:tabs>
          <w:tab w:val="left" w:pos="720" w:leader="none"/>
        </w:tabs>
        <w:ind w:hanging="360" w:start="720" w:end="0"/>
        <w:rPr>
          <w:rFonts w:ascii="Arial" w:hAnsi="Arial" w:cs="Arial"/>
        </w:rPr>
      </w:pPr>
      <w:r>
        <w:rPr>
          <w:rFonts w:cs="Arial" w:ascii="Arial" w:hAnsi="Arial"/>
        </w:rPr>
        <w:t>Dispute Resolution</w:t>
      </w:r>
    </w:p>
    <w:p>
      <w:pPr>
        <w:pStyle w:val="Normal"/>
        <w:rPr>
          <w:rFonts w:ascii="Arial" w:hAnsi="Arial" w:cs="Arial"/>
          <w:b/>
          <w:sz w:val="24"/>
        </w:rPr>
      </w:pPr>
      <w:r>
        <w:rPr>
          <w:rFonts w:cs="Arial" w:ascii="Arial" w:hAnsi="Arial"/>
          <w:b/>
          <w:sz w:val="24"/>
        </w:rPr>
      </w:r>
    </w:p>
    <w:p>
      <w:pPr>
        <w:pStyle w:val="Normal"/>
        <w:numPr>
          <w:ilvl w:val="0"/>
          <w:numId w:val="13"/>
        </w:numPr>
        <w:rPr>
          <w:rFonts w:ascii="Arial" w:hAnsi="Arial" w:cs="Arial"/>
          <w:b/>
          <w:sz w:val="24"/>
        </w:rPr>
      </w:pPr>
      <w:r>
        <w:rPr>
          <w:rFonts w:cs="Arial" w:ascii="Arial" w:hAnsi="Arial"/>
          <w:b/>
          <w:sz w:val="24"/>
        </w:rPr>
        <w:t>Security and Confidentiality:</w:t>
      </w:r>
    </w:p>
    <w:p>
      <w:pPr>
        <w:pStyle w:val="Normal"/>
        <w:numPr>
          <w:ilvl w:val="0"/>
          <w:numId w:val="12"/>
        </w:numPr>
        <w:tabs>
          <w:tab w:val="left" w:pos="720" w:leader="none"/>
        </w:tabs>
        <w:ind w:hanging="360" w:start="720" w:end="0"/>
        <w:rPr>
          <w:rFonts w:ascii="Arial" w:hAnsi="Arial" w:cs="Arial"/>
        </w:rPr>
      </w:pPr>
      <w:r>
        <w:rPr>
          <w:rFonts w:cs="Arial" w:ascii="Arial" w:hAnsi="Arial"/>
        </w:rPr>
        <w:t>Passwords: Once the registration process is complete, The Pipeline would receive an initial User Id and Password from EnronOnline providing them with access to the SML. The first time the user accesses the SML they would be prompted to change their password.</w:t>
      </w:r>
    </w:p>
    <w:p>
      <w:pPr>
        <w:pStyle w:val="Normal"/>
        <w:numPr>
          <w:ilvl w:val="0"/>
          <w:numId w:val="12"/>
        </w:numPr>
        <w:tabs>
          <w:tab w:val="left" w:pos="720" w:leader="none"/>
        </w:tabs>
        <w:ind w:hanging="360" w:start="720" w:end="0"/>
        <w:rPr/>
      </w:pPr>
      <w:r>
        <w:rPr>
          <w:rFonts w:cs="Arial" w:ascii="Arial" w:hAnsi="Arial"/>
        </w:rPr>
        <w:t>Confidentiality: User will take such actions as are necessary in order for it to maintain the confidentiality of, and prevent the unauthorized use of User's password. User will notify EnronOnline immediately in writing if User determines, or has reason to believe, that an unauthorized party has gained access to the password</w:t>
      </w:r>
      <w:r>
        <w:rPr/>
        <w:t>.</w:t>
      </w:r>
    </w:p>
    <w:p>
      <w:pPr>
        <w:pStyle w:val="Normal"/>
        <w:numPr>
          <w:ilvl w:val="0"/>
          <w:numId w:val="12"/>
        </w:numPr>
        <w:tabs>
          <w:tab w:val="left" w:pos="720" w:leader="none"/>
        </w:tabs>
        <w:ind w:hanging="360" w:start="720" w:end="0"/>
        <w:rPr>
          <w:rFonts w:ascii="Arial" w:hAnsi="Arial" w:cs="Arial"/>
        </w:rPr>
      </w:pPr>
      <w:r>
        <w:rPr>
          <w:rFonts w:cs="Arial" w:ascii="Arial" w:hAnsi="Arial"/>
        </w:rPr>
        <w:t>Secure Socket Layer (SSL)</w:t>
      </w:r>
    </w:p>
    <w:p>
      <w:pPr>
        <w:pStyle w:val="Normal"/>
        <w:numPr>
          <w:ilvl w:val="0"/>
          <w:numId w:val="12"/>
        </w:numPr>
        <w:tabs>
          <w:tab w:val="left" w:pos="720" w:leader="none"/>
        </w:tabs>
        <w:ind w:hanging="360" w:start="720" w:end="0"/>
        <w:rPr>
          <w:rFonts w:ascii="Arial" w:hAnsi="Arial" w:cs="Arial"/>
        </w:rPr>
      </w:pPr>
      <w:r>
        <w:rPr>
          <w:rFonts w:cs="Arial" w:ascii="Arial" w:hAnsi="Arial"/>
        </w:rPr>
        <w:t>Non-Disclosure-protection of property rights</w:t>
      </w:r>
    </w:p>
    <w:p>
      <w:pPr>
        <w:pStyle w:val="Normal"/>
        <w:numPr>
          <w:ilvl w:val="0"/>
          <w:numId w:val="12"/>
        </w:numPr>
        <w:tabs>
          <w:tab w:val="left" w:pos="720" w:leader="none"/>
        </w:tabs>
        <w:ind w:hanging="360" w:start="720" w:end="0"/>
        <w:rPr>
          <w:rFonts w:ascii="Arial" w:hAnsi="Arial" w:cs="Arial"/>
        </w:rPr>
      </w:pPr>
      <w:r>
        <w:rPr>
          <w:rFonts w:cs="Arial" w:ascii="Arial" w:hAnsi="Arial"/>
        </w:rPr>
        <w:t>Misuse of Website</w:t>
      </w:r>
    </w:p>
    <w:p>
      <w:pPr>
        <w:pStyle w:val="Normal"/>
        <w:numPr>
          <w:ilvl w:val="0"/>
          <w:numId w:val="12"/>
        </w:numPr>
        <w:tabs>
          <w:tab w:val="left" w:pos="720" w:leader="none"/>
        </w:tabs>
        <w:ind w:hanging="360" w:start="720" w:end="0"/>
        <w:rPr>
          <w:rFonts w:ascii="Arial" w:hAnsi="Arial" w:cs="Arial"/>
        </w:rPr>
      </w:pPr>
      <w:r>
        <w:rPr>
          <w:rFonts w:cs="Arial" w:ascii="Arial" w:hAnsi="Arial"/>
        </w:rPr>
        <w:t>Copyright and Trademarks</w:t>
      </w:r>
    </w:p>
    <w:p>
      <w:pPr>
        <w:pStyle w:val="Normal"/>
        <w:rPr>
          <w:rFonts w:ascii="Arial" w:hAnsi="Arial" w:cs="Arial"/>
          <w:b/>
          <w:sz w:val="24"/>
        </w:rPr>
      </w:pPr>
      <w:r>
        <w:rPr>
          <w:rFonts w:cs="Arial" w:ascii="Arial" w:hAnsi="Arial"/>
          <w:b/>
          <w:sz w:val="24"/>
        </w:rPr>
      </w:r>
    </w:p>
    <w:p>
      <w:pPr>
        <w:pStyle w:val="Normal"/>
        <w:numPr>
          <w:ilvl w:val="0"/>
          <w:numId w:val="2"/>
        </w:numPr>
        <w:rPr>
          <w:rFonts w:ascii="Arial" w:hAnsi="Arial" w:cs="Arial"/>
          <w:b/>
          <w:sz w:val="24"/>
        </w:rPr>
      </w:pPr>
      <w:r>
        <w:rPr>
          <w:rFonts w:cs="Arial" w:ascii="Arial" w:hAnsi="Arial"/>
          <w:b/>
          <w:sz w:val="24"/>
        </w:rPr>
        <w:t>Indemnity</w:t>
      </w:r>
    </w:p>
    <w:p>
      <w:pPr>
        <w:pStyle w:val="Normal"/>
        <w:rPr>
          <w:rFonts w:ascii="Arial" w:hAnsi="Arial" w:cs="Arial"/>
          <w:b/>
          <w:sz w:val="24"/>
        </w:rPr>
      </w:pPr>
      <w:r>
        <w:rPr>
          <w:rFonts w:cs="Arial" w:ascii="Arial" w:hAnsi="Arial"/>
          <w:b/>
          <w:sz w:val="24"/>
        </w:rPr>
      </w:r>
    </w:p>
    <w:p>
      <w:pPr>
        <w:pStyle w:val="Normal"/>
        <w:numPr>
          <w:ilvl w:val="0"/>
          <w:numId w:val="10"/>
        </w:numPr>
        <w:rPr>
          <w:rFonts w:ascii="Arial" w:hAnsi="Arial" w:cs="Arial"/>
          <w:b/>
          <w:sz w:val="24"/>
        </w:rPr>
      </w:pPr>
      <w:r>
        <w:rPr>
          <w:rFonts w:cs="Arial" w:ascii="Arial" w:hAnsi="Arial"/>
          <w:b/>
          <w:sz w:val="24"/>
        </w:rPr>
        <w:t>Termination and Suspension</w:t>
      </w:r>
    </w:p>
    <w:p>
      <w:pPr>
        <w:pStyle w:val="Normal"/>
        <w:rPr>
          <w:rFonts w:ascii="Arial" w:hAnsi="Arial" w:cs="Arial"/>
          <w:b/>
          <w:sz w:val="24"/>
        </w:rPr>
      </w:pPr>
      <w:r>
        <w:rPr>
          <w:rFonts w:cs="Arial" w:ascii="Arial" w:hAnsi="Arial"/>
          <w:b/>
          <w:sz w:val="24"/>
        </w:rPr>
      </w:r>
    </w:p>
    <w:p>
      <w:pPr>
        <w:pStyle w:val="Normal"/>
        <w:numPr>
          <w:ilvl w:val="0"/>
          <w:numId w:val="10"/>
        </w:numPr>
        <w:rPr>
          <w:rFonts w:ascii="Arial" w:hAnsi="Arial" w:cs="Arial"/>
          <w:b/>
          <w:sz w:val="24"/>
        </w:rPr>
      </w:pPr>
      <w:r>
        <w:rPr>
          <w:rFonts w:cs="Arial" w:ascii="Arial" w:hAnsi="Arial"/>
          <w:b/>
          <w:sz w:val="24"/>
        </w:rPr>
        <w:t>Force Majeure</w:t>
      </w:r>
    </w:p>
    <w:p>
      <w:pPr>
        <w:pStyle w:val="Normal"/>
        <w:rPr>
          <w:rFonts w:ascii="Arial" w:hAnsi="Arial" w:cs="Arial"/>
          <w:b/>
          <w:sz w:val="24"/>
        </w:rPr>
      </w:pPr>
      <w:r>
        <w:rPr>
          <w:rFonts w:cs="Arial" w:ascii="Arial" w:hAnsi="Arial"/>
          <w:b/>
          <w:sz w:val="24"/>
        </w:rPr>
      </w:r>
    </w:p>
    <w:p>
      <w:pPr>
        <w:pStyle w:val="Normal"/>
        <w:numPr>
          <w:ilvl w:val="0"/>
          <w:numId w:val="10"/>
        </w:numPr>
        <w:rPr>
          <w:rFonts w:ascii="Arial" w:hAnsi="Arial" w:cs="Arial"/>
          <w:b/>
          <w:sz w:val="24"/>
        </w:rPr>
      </w:pPr>
      <w:r>
        <w:rPr>
          <w:rFonts w:cs="Arial" w:ascii="Arial" w:hAnsi="Arial"/>
          <w:b/>
          <w:sz w:val="24"/>
        </w:rPr>
        <w:t>Links</w:t>
      </w:r>
    </w:p>
    <w:p>
      <w:pPr>
        <w:pStyle w:val="Normal"/>
        <w:rPr>
          <w:rFonts w:ascii="Arial" w:hAnsi="Arial" w:cs="Arial"/>
          <w:b/>
          <w:sz w:val="24"/>
        </w:rPr>
      </w:pPr>
      <w:r>
        <w:rPr>
          <w:rFonts w:cs="Arial" w:ascii="Arial" w:hAnsi="Arial"/>
          <w:b/>
          <w:sz w:val="24"/>
        </w:rPr>
      </w:r>
    </w:p>
    <w:p>
      <w:pPr>
        <w:pStyle w:val="Normal"/>
        <w:numPr>
          <w:ilvl w:val="0"/>
          <w:numId w:val="10"/>
        </w:numPr>
        <w:rPr>
          <w:rFonts w:ascii="Arial" w:hAnsi="Arial" w:cs="Arial"/>
          <w:b/>
          <w:sz w:val="24"/>
        </w:rPr>
      </w:pPr>
      <w:r>
        <w:rPr>
          <w:rFonts w:cs="Arial" w:ascii="Arial" w:hAnsi="Arial"/>
          <w:b/>
          <w:sz w:val="24"/>
        </w:rPr>
        <w:t>Notices and Communication</w:t>
      </w:r>
    </w:p>
    <w:p>
      <w:pPr>
        <w:pStyle w:val="Normal"/>
        <w:rPr>
          <w:rFonts w:ascii="Arial" w:hAnsi="Arial" w:cs="Arial"/>
          <w:b/>
          <w:sz w:val="24"/>
        </w:rPr>
      </w:pPr>
      <w:r>
        <w:rPr>
          <w:rFonts w:cs="Arial" w:ascii="Arial" w:hAnsi="Arial"/>
          <w:b/>
          <w:sz w:val="24"/>
        </w:rPr>
      </w:r>
    </w:p>
    <w:p>
      <w:pPr>
        <w:pStyle w:val="Normal"/>
        <w:numPr>
          <w:ilvl w:val="0"/>
          <w:numId w:val="10"/>
        </w:numPr>
        <w:rPr>
          <w:rFonts w:ascii="Arial" w:hAnsi="Arial" w:cs="Arial"/>
          <w:b/>
          <w:sz w:val="24"/>
        </w:rPr>
      </w:pPr>
      <w:r>
        <w:rPr>
          <w:rFonts w:cs="Arial" w:ascii="Arial" w:hAnsi="Arial"/>
          <w:b/>
          <w:sz w:val="24"/>
        </w:rPr>
        <w:t>Excluded Services</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*This document is confidential and is for discussion purposes only</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3780" w:leader="none"/>
      </w:tabs>
      <w:rPr/>
    </w:pPr>
    <w:r>
      <w:rPr/>
      <w:t xml:space="preserve">EnronOnline – Third Party Pipelines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85"/>
        </w:tabs>
        <w:ind w:start="1485" w:hanging="360"/>
      </w:pPr>
      <w:rPr/>
    </w:lvl>
    <w:lvl w:ilvl="1">
      <w:start w:val="1"/>
      <w:pStyle w:val="Heading2"/>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decimal"/>
      <w:lvlText w:val="%1)"/>
      <w:lvlJc w:val="start"/>
      <w:pPr>
        <w:tabs>
          <w:tab w:val="num" w:pos="1800"/>
        </w:tabs>
        <w:ind w:start="1800" w:hanging="360"/>
      </w:pPr>
      <w:r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3"/>
      <w:numFmt w:val="bullet"/>
      <w:lvlText w:val="-"/>
      <w:lvlJc w:val="start"/>
      <w:pPr>
        <w:tabs>
          <w:tab w:val="num" w:pos="1080"/>
        </w:tabs>
        <w:ind w:start="1080" w:hanging="360"/>
      </w:pPr>
      <w:rPr>
        <w:rFonts w:ascii="Times New Roman" w:hAnsi="Times New Roman" w:cs="Times New Roman" w:hint="default"/>
      </w:rPr>
    </w:lvl>
  </w:abstractNum>
  <w:abstractNum w:abstractNumId="9">
    <w:lvl w:ilvl="0">
      <w:start w:val="2"/>
      <w:numFmt w:val="upperLetter"/>
      <w:lvlText w:val=""/>
      <w:lvlJc w:val="start"/>
      <w:pPr>
        <w:tabs>
          <w:tab w:val="num" w:pos="1080"/>
        </w:tabs>
        <w:ind w:start="1080" w:hanging="360"/>
      </w:pPr>
      <w:rPr>
        <w:rFonts w:ascii="Times New Roman" w:hAnsi="Times New Roman" w:cs="Times New Roman"/>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upperLetter"/>
      <w:lvlText w:val="%1)"/>
      <w:lvlJc w:val="start"/>
      <w:pPr>
        <w:tabs>
          <w:tab w:val="num" w:pos="1080"/>
        </w:tabs>
        <w:ind w:start="1080" w:hanging="360"/>
      </w:pPr>
      <w:rPr>
        <w:i w:val="false"/>
      </w:rPr>
    </w:lvl>
  </w:abstractNum>
  <w:abstractNum w:abstractNumId="15">
    <w:lvl w:ilvl="0">
      <w:start w:val="5"/>
      <w:numFmt w:val="upperLetter"/>
      <w:lvlText w:val="%1."/>
      <w:lvlJc w:val="start"/>
      <w:pPr>
        <w:tabs>
          <w:tab w:val="num" w:pos="1095"/>
        </w:tabs>
        <w:ind w:start="1095" w:hanging="375"/>
      </w:pPr>
      <w:rPr/>
    </w:lvl>
  </w:abstractNum>
  <w:abstractNum w:abstractNumId="16">
    <w:lvl w:ilvl="0">
      <w:start w:val="3"/>
      <w:numFmt w:val="upperLetter"/>
      <w:lvlText w:val="%1."/>
      <w:lvlJc w:val="start"/>
      <w:pPr>
        <w:tabs>
          <w:tab w:val="num" w:pos="1080"/>
        </w:tabs>
        <w:ind w:start="1080" w:hanging="360"/>
      </w:pPr>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outlineLvl w:val="0"/>
    </w:pPr>
    <w:rPr>
      <w:rFonts w:ascii="Arial" w:hAnsi="Arial" w:cs="Arial"/>
      <w:b/>
    </w:rPr>
  </w:style>
  <w:style w:type="paragraph" w:styleId="Heading2">
    <w:name w:val="heading 2"/>
    <w:basedOn w:val="Heading1"/>
    <w:next w:val="Normal"/>
    <w:qFormat/>
    <w:pPr>
      <w:widowControl w:val="false"/>
      <w:numPr>
        <w:ilvl w:val="1"/>
        <w:numId w:val="1"/>
      </w:numPr>
      <w:spacing w:lineRule="atLeast" w:line="240" w:before="120" w:after="60"/>
      <w:outlineLvl w:val="1"/>
    </w:pPr>
    <w:rPr/>
  </w:style>
  <w:style w:type="paragraph" w:styleId="Heading3">
    <w:name w:val="heading 3"/>
    <w:basedOn w:val="Heading1"/>
    <w:next w:val="Normal"/>
    <w:qFormat/>
    <w:pPr>
      <w:widowControl w:val="false"/>
      <w:numPr>
        <w:ilvl w:val="2"/>
        <w:numId w:val="1"/>
      </w:numPr>
      <w:spacing w:lineRule="atLeast" w:line="240" w:before="120" w:after="60"/>
      <w:outlineLvl w:val="2"/>
    </w:pPr>
    <w:rPr>
      <w:b w:val="false"/>
      <w:i/>
    </w:rPr>
  </w:style>
  <w:style w:type="paragraph" w:styleId="Heading4">
    <w:name w:val="heading 4"/>
    <w:basedOn w:val="Heading1"/>
    <w:next w:val="Normal"/>
    <w:qFormat/>
    <w:pPr>
      <w:widowControl w:val="false"/>
      <w:numPr>
        <w:ilvl w:val="3"/>
        <w:numId w:val="1"/>
      </w:numPr>
      <w:spacing w:lineRule="atLeast" w:line="240" w:before="120" w:after="60"/>
      <w:outlineLvl w:val="3"/>
    </w:pPr>
    <w:rPr>
      <w:b w:val="false"/>
    </w:rPr>
  </w:style>
  <w:style w:type="paragraph" w:styleId="Heading5">
    <w:name w:val="heading 5"/>
    <w:basedOn w:val="Normal"/>
    <w:next w:val="Normal"/>
    <w:qFormat/>
    <w:pPr>
      <w:widowControl w:val="false"/>
      <w:numPr>
        <w:ilvl w:val="4"/>
        <w:numId w:val="1"/>
      </w:numPr>
      <w:spacing w:lineRule="atLeast" w:line="240" w:before="240" w:after="60"/>
      <w:outlineLvl w:val="4"/>
    </w:pPr>
    <w:rPr>
      <w:sz w:val="22"/>
    </w:rPr>
  </w:style>
  <w:style w:type="paragraph" w:styleId="Heading6">
    <w:name w:val="heading 6"/>
    <w:basedOn w:val="Normal"/>
    <w:next w:val="Normal"/>
    <w:qFormat/>
    <w:pPr>
      <w:widowControl w:val="false"/>
      <w:numPr>
        <w:ilvl w:val="5"/>
        <w:numId w:val="1"/>
      </w:numPr>
      <w:spacing w:lineRule="atLeast" w:line="240" w:before="240" w:after="60"/>
      <w:outlineLvl w:val="5"/>
    </w:pPr>
    <w:rPr>
      <w:i/>
      <w:sz w:val="22"/>
    </w:rPr>
  </w:style>
  <w:style w:type="paragraph" w:styleId="Heading7">
    <w:name w:val="heading 7"/>
    <w:basedOn w:val="Normal"/>
    <w:next w:val="Normal"/>
    <w:qFormat/>
    <w:pPr>
      <w:widowControl w:val="false"/>
      <w:numPr>
        <w:ilvl w:val="6"/>
        <w:numId w:val="1"/>
      </w:numPr>
      <w:spacing w:lineRule="atLeast" w:line="240" w:before="240" w:after="60"/>
      <w:outlineLvl w:val="6"/>
    </w:pPr>
    <w:rPr/>
  </w:style>
  <w:style w:type="paragraph" w:styleId="Heading8">
    <w:name w:val="heading 8"/>
    <w:basedOn w:val="Normal"/>
    <w:next w:val="Normal"/>
    <w:qFormat/>
    <w:pPr>
      <w:widowControl w:val="false"/>
      <w:numPr>
        <w:ilvl w:val="7"/>
        <w:numId w:val="1"/>
      </w:numPr>
      <w:spacing w:lineRule="atLeast" w:line="240" w:before="240" w:after="60"/>
      <w:outlineLvl w:val="7"/>
    </w:pPr>
    <w:rPr>
      <w:i/>
    </w:rPr>
  </w:style>
  <w:style w:type="paragraph" w:styleId="Heading9">
    <w:name w:val="heading 9"/>
    <w:basedOn w:val="Normal"/>
    <w:next w:val="Normal"/>
    <w:qFormat/>
    <w:pPr>
      <w:widowControl w:val="false"/>
      <w:numPr>
        <w:ilvl w:val="8"/>
        <w:numId w:val="1"/>
      </w:numPr>
      <w:spacing w:lineRule="atLeast" w:line="240" w:before="240" w:after="60"/>
      <w:outlineLvl w:val="8"/>
    </w:pPr>
    <w:rPr>
      <w:b/>
      <w:i/>
      <w:sz w:val="18"/>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style>
  <w:style w:type="character" w:styleId="WW8Num9z0">
    <w:name w:val="WW8Num9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i w:val="false"/>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Times New Roman" w:hAnsi="Times New Roman" w:cs="Times New Roman"/>
    </w:rPr>
  </w:style>
  <w:style w:type="character" w:styleId="WW8Num31z0">
    <w:name w:val="WW8Num31z0"/>
    <w:qFormat/>
    <w:rPr>
      <w:rFonts w:ascii="Wingdings" w:hAnsi="Wingdings" w:cs="Wingdings"/>
    </w:rPr>
  </w:style>
  <w:style w:type="character" w:styleId="WW8Num33z0">
    <w:name w:val="WW8Num3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widowControl w:val="false"/>
      <w:spacing w:lineRule="atLeast" w:line="240" w:before="0" w:after="120"/>
      <w:ind w:hanging="0" w:start="720" w:end="0"/>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 w:end="0"/>
    </w:pPr>
    <w:rPr>
      <w:rFonts w:ascii="Arial" w:hAnsi="Arial" w:cs="Arial"/>
    </w:rPr>
  </w:style>
  <w:style w:type="paragraph" w:styleId="BodyTextIndent2">
    <w:name w:val="Body Text Indent 2"/>
    <w:basedOn w:val="Normal"/>
    <w:qFormat/>
    <w:pPr>
      <w:ind w:hanging="0" w:start="72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2001-02-06T13:32:00Z</dcterms:created>
  <dc:creator>lpacheco</dc:creator>
  <dc:description/>
  <dc:language>en-CA</dc:language>
  <cp:lastModifiedBy>ccarter4</cp:lastModifiedBy>
  <cp:lastPrinted>2001-02-06T11:44:00Z</cp:lastPrinted>
  <dcterms:modified xsi:type="dcterms:W3CDTF">2001-02-06T15:17:00Z</dcterms:modified>
  <cp:revision>4</cp:revision>
  <dc:subject/>
  <dc:title>February 5, 2001</dc:title>
</cp:coreProperties>
</file>