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wmf" ContentType="image/x-wmf"/>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start="0" w:end="0"/>
        <w:rPr>
          <w:rFonts w:ascii="CG Times" w:hAnsi="CG Times" w:cs="CG Times"/>
          <w:b/>
          <w:sz w:val="20"/>
        </w:rPr>
      </w:pPr>
      <w:r>
        <w:rPr>
          <w:rFonts w:cs="CG Times" w:ascii="CG Times" w:hAnsi="CG Times"/>
          <w:b/>
          <w:sz w:val="20"/>
        </w:rPr>
        <w:t>OTHER THAN THE “BINDING MATTERS” CLAUSE, THIS PROPOSAL DOES NOT CONSTITUTE ANY FORM OF COMMITMENT, BUT RATHER, IS SOLELY FOR DISCUSSION PURPOSES.  THESE TERMS DO NOT CONSTITUTE ANY FORM OF BINDING CONTRACT,  BUT ARE INTENDED SOLELY TO OUTLINE THOSE TERMS PURSUANT TO WHICH A DEFINITIVE AGREEMENT MAY BE ULTIMATELY ENTERED INTO.  THE INVESTMENT OUTLINED BELOW IS CONTINGENT UPON, AMONG OTHER THINGS, THE SATISFACTORY COMPLETION OF DUE DILIGENCE AND THE NEGOTIATION AND EXECUTION OF A MUTUALLY SATISFACTORY PURCHASE AGREEMENT (CONTAINING: CUSTOMARY CLOSING CONDITIONS, PREFERRED STOCK COVENANTS, REPRESENTATIONS, WARRANTIES, ETC.)</w:t>
      </w:r>
    </w:p>
    <w:p>
      <w:pPr>
        <w:pStyle w:val="Normal"/>
        <w:suppressAutoHyphens w:val="true"/>
        <w:jc w:val="center"/>
        <w:rPr>
          <w:rFonts w:ascii="CG Times" w:hAnsi="CG Times" w:cs="CG Times"/>
          <w:b/>
          <w:sz w:val="20"/>
        </w:rPr>
      </w:pPr>
      <w:r>
        <w:rPr>
          <w:rFonts w:cs="CG Times" w:ascii="CG Times" w:hAnsi="CG Times"/>
          <w:b/>
          <w:sz w:val="20"/>
        </w:rPr>
        <w:t>CONFIDENTIAL</w:t>
      </w:r>
    </w:p>
    <w:p>
      <w:pPr>
        <w:pStyle w:val="Normal"/>
        <w:suppressAutoHyphens w:val="true"/>
        <w:jc w:val="center"/>
        <w:rPr>
          <w:rFonts w:ascii="CG Times" w:hAnsi="CG Times" w:cs="CG Times"/>
          <w:b/>
          <w:sz w:val="20"/>
        </w:rPr>
      </w:pPr>
      <w:r>
        <w:rPr>
          <w:rFonts w:cs="CG Times" w:ascii="CG Times" w:hAnsi="CG Times"/>
          <w:b/>
          <w:sz w:val="20"/>
        </w:rPr>
        <w:t xml:space="preserve">Summary of Terms for Proposed Sale </w:t>
      </w:r>
    </w:p>
    <w:p>
      <w:pPr>
        <w:pStyle w:val="Normal"/>
        <w:suppressAutoHyphens w:val="true"/>
        <w:jc w:val="center"/>
        <w:rPr>
          <w:rFonts w:ascii="CG Times" w:hAnsi="CG Times" w:cs="CG Times"/>
          <w:b/>
          <w:sz w:val="20"/>
        </w:rPr>
      </w:pPr>
      <w:r>
        <w:rPr>
          <w:rFonts w:cs="CG Times" w:ascii="CG Times" w:hAnsi="CG Times"/>
          <w:b/>
          <w:sz w:val="20"/>
        </w:rPr>
        <w:t xml:space="preserve">of Series A Preferred Stock </w:t>
      </w:r>
    </w:p>
    <w:p>
      <w:pPr>
        <w:pStyle w:val="Normal"/>
        <w:suppressAutoHyphens w:val="true"/>
        <w:jc w:val="center"/>
        <w:rPr>
          <w:rFonts w:ascii="CG Times" w:hAnsi="CG Times" w:cs="CG Times"/>
          <w:b/>
          <w:sz w:val="20"/>
        </w:rPr>
      </w:pPr>
      <w:r>
        <w:rPr>
          <w:rFonts w:cs="CG Times" w:ascii="CG Times" w:hAnsi="CG Times"/>
          <w:b/>
          <w:sz w:val="20"/>
        </w:rPr>
        <w:t>of</w:t>
      </w:r>
    </w:p>
    <w:p>
      <w:pPr>
        <w:pStyle w:val="Normal"/>
        <w:suppressAutoHyphens w:val="true"/>
        <w:jc w:val="center"/>
        <w:rPr>
          <w:rFonts w:ascii="CG Times" w:hAnsi="CG Times" w:cs="CG Times"/>
          <w:b/>
          <w:sz w:val="20"/>
        </w:rPr>
      </w:pPr>
      <w:r>
        <w:rPr>
          <w:rFonts w:cs="CG Times" w:ascii="CG Times" w:hAnsi="CG Times"/>
          <w:b/>
          <w:sz w:val="20"/>
        </w:rPr>
        <w:t>Photofete.com, LLC</w:t>
      </w:r>
    </w:p>
    <w:p>
      <w:pPr>
        <w:pStyle w:val="Normal"/>
        <w:suppressAutoHyphens w:val="true"/>
        <w:jc w:val="center"/>
        <w:rPr>
          <w:rFonts w:ascii="CG Times" w:hAnsi="CG Times" w:cs="CG Times"/>
          <w:b/>
          <w:sz w:val="20"/>
        </w:rPr>
      </w:pPr>
      <w:r>
        <w:rPr>
          <w:rFonts w:cs="CG Times" w:ascii="CG Times" w:hAnsi="CG Times"/>
          <w:b/>
          <w:sz w:val="20"/>
        </w:rPr>
      </w:r>
    </w:p>
    <w:p>
      <w:pPr>
        <w:pStyle w:val="Normal"/>
        <w:suppressAutoHyphens w:val="true"/>
        <w:jc w:val="center"/>
        <w:rPr>
          <w:rFonts w:ascii="CG Times" w:hAnsi="CG Times" w:cs="CG Times"/>
          <w:b/>
          <w:sz w:val="20"/>
        </w:rPr>
      </w:pPr>
      <w:r>
        <w:rPr>
          <w:rFonts w:cs="CG Times" w:ascii="CG Times" w:hAnsi="CG Times"/>
          <w:b/>
          <w:sz w:val="20"/>
        </w:rPr>
        <w:t>March 1, 2001</w:t>
      </w:r>
    </w:p>
    <w:p>
      <w:pPr>
        <w:pStyle w:val="Normal"/>
        <w:suppressAutoHyphens w:val="true"/>
        <w:rPr>
          <w:rFonts w:ascii="CG Times" w:hAnsi="CG Times" w:cs="CG Times"/>
          <w:b/>
          <w:sz w:val="20"/>
        </w:rPr>
      </w:pPr>
      <w:r>
        <w:rPr>
          <w:rFonts w:cs="CG Times" w:ascii="CG Times" w:hAnsi="CG Times"/>
          <w:b/>
          <w:sz w:val="20"/>
        </w:rPr>
      </w:r>
    </w:p>
    <w:p>
      <w:pPr>
        <w:pStyle w:val="Normal"/>
        <w:suppressAutoHyphens w:val="true"/>
        <w:rPr>
          <w:rFonts w:ascii="CG Times" w:hAnsi="CG Times" w:cs="CG Times"/>
          <w:b/>
          <w:sz w:val="20"/>
        </w:rPr>
      </w:pPr>
      <w:r>
        <w:rPr>
          <w:rFonts w:cs="CG Times" w:ascii="CG Times" w:hAnsi="CG Times"/>
          <w:b/>
          <w:sz w:val="20"/>
        </w:rPr>
      </w:r>
    </w:p>
    <w:p>
      <w:pPr>
        <w:pStyle w:val="Normal"/>
        <w:tabs>
          <w:tab w:val="clear" w:pos="720"/>
          <w:tab w:val="left" w:pos="-1440" w:leader="none"/>
          <w:tab w:val="left" w:pos="-720" w:leader="none"/>
          <w:tab w:val="left" w:pos="2880" w:leader="none"/>
          <w:tab w:val="right" w:pos="6120" w:leader="none"/>
        </w:tabs>
        <w:suppressAutoHyphens w:val="true"/>
        <w:spacing w:before="0" w:after="240"/>
        <w:ind w:hanging="2880" w:start="2880" w:end="0"/>
        <w:rPr/>
      </w:pPr>
      <w:bookmarkStart w:id="0" w:name="SelectionString"/>
      <w:bookmarkEnd w:id="0"/>
      <w:r>
        <w:rPr>
          <w:rFonts w:cs="CG Times" w:ascii="CG Times" w:hAnsi="CG Times"/>
          <w:b/>
          <w:sz w:val="20"/>
        </w:rPr>
        <w:t>Issuer:</w:t>
      </w:r>
      <w:r>
        <w:rPr>
          <w:rFonts w:cs="CG Times" w:ascii="CG Times" w:hAnsi="CG Times"/>
          <w:sz w:val="20"/>
        </w:rPr>
        <w:tab/>
        <w:t>Photofete.com, LLC, a Texas limited liability company (the “Company”)</w:t>
      </w:r>
    </w:p>
    <w:p>
      <w:pPr>
        <w:pStyle w:val="Normal"/>
        <w:tabs>
          <w:tab w:val="clear" w:pos="720"/>
          <w:tab w:val="left" w:pos="2880" w:leader="none"/>
          <w:tab w:val="left" w:pos="7164" w:leader="none"/>
          <w:tab w:val="left" w:pos="7878" w:leader="none"/>
          <w:tab w:val="right" w:pos="9360" w:leader="none"/>
        </w:tabs>
        <w:suppressAutoHyphens w:val="true"/>
        <w:spacing w:before="0" w:after="240"/>
        <w:ind w:hanging="2880" w:start="2880" w:end="0"/>
        <w:rPr/>
      </w:pPr>
      <w:r>
        <w:rPr>
          <w:rFonts w:cs="CG Times" w:ascii="CG Times" w:hAnsi="CG Times"/>
          <w:b/>
          <w:sz w:val="20"/>
        </w:rPr>
        <w:t>Investor(s):</w:t>
      </w:r>
      <w:r>
        <w:rPr>
          <w:rFonts w:cs="CG Times" w:ascii="CG Times" w:hAnsi="CG Times"/>
          <w:sz w:val="20"/>
        </w:rPr>
        <w:tab/>
        <w:t>Jeff Skilling, Wincrest Ventures, LP, and other founding investors including new co-investors collectively (the “Investors”).</w:t>
      </w:r>
    </w:p>
    <w:p>
      <w:pPr>
        <w:pStyle w:val="Normal"/>
        <w:tabs>
          <w:tab w:val="clear" w:pos="720"/>
          <w:tab w:val="left" w:pos="-1440" w:leader="none"/>
          <w:tab w:val="left" w:pos="-720" w:leader="none"/>
          <w:tab w:val="left" w:pos="2880" w:leader="none"/>
          <w:tab w:val="right" w:pos="5580" w:leader="none"/>
        </w:tabs>
        <w:suppressAutoHyphens w:val="true"/>
        <w:spacing w:before="0" w:after="240"/>
        <w:ind w:hanging="2880" w:start="2880" w:end="0"/>
        <w:rPr/>
      </w:pPr>
      <w:r>
        <w:rPr>
          <w:rFonts w:cs="CG Times" w:ascii="CG Times" w:hAnsi="CG Times"/>
          <w:b/>
          <w:sz w:val="20"/>
        </w:rPr>
        <w:t>Amount of Financing:</w:t>
      </w:r>
      <w:r>
        <w:rPr>
          <w:rFonts w:cs="CG Times" w:ascii="CG Times" w:hAnsi="CG Times"/>
          <w:sz w:val="20"/>
        </w:rPr>
        <w:tab/>
        <w:t>An aggregate amount of $400,000 (the “Financing”).</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Price:</w:t>
        <w:tab/>
      </w:r>
      <w:r>
        <w:rPr>
          <w:rFonts w:cs="CG Times" w:ascii="CG Times" w:hAnsi="CG Times"/>
          <w:sz w:val="20"/>
        </w:rPr>
        <w:t>$.67 per share (the “Purchase Price”). The Company’s capitalization table, pre-financing and post-financing, are attached as Exhibit A and Exhibit B, respectively. The Company’s pre money valuation shall be $1,000,000.</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Investment Structure</w:t>
      </w:r>
      <w:r>
        <w:rPr>
          <w:rFonts w:cs="CG Times" w:ascii="CG Times" w:hAnsi="CG Times"/>
          <w:sz w:val="20"/>
        </w:rPr>
        <w:tab/>
        <w:t>Series A Convertible Preferred Stock (the “Series A Preferred”), initially convertible on a 1:1 basis into shares of the Company’s Common Stock (the “Common Stock”).</w:t>
      </w:r>
    </w:p>
    <w:p>
      <w:pPr>
        <w:pStyle w:val="Normal"/>
        <w:tabs>
          <w:tab w:val="clear" w:pos="720"/>
          <w:tab w:val="left" w:pos="-1440" w:leader="none"/>
          <w:tab w:val="left" w:pos="-720" w:leader="none"/>
          <w:tab w:val="left" w:pos="2880" w:leader="none"/>
        </w:tabs>
        <w:suppressAutoHyphens w:val="true"/>
        <w:spacing w:before="0" w:after="240"/>
        <w:ind w:hanging="2880" w:start="2880" w:end="0"/>
        <w:rPr>
          <w:rFonts w:ascii="CG Times" w:hAnsi="CG Times" w:cs="CG Times"/>
          <w:b/>
          <w:sz w:val="20"/>
          <w:u w:val="single"/>
        </w:rPr>
      </w:pPr>
      <w:r>
        <w:rPr>
          <w:rFonts w:cs="CG Times" w:ascii="CG Times" w:hAnsi="CG Times"/>
          <w:b/>
          <w:sz w:val="20"/>
        </w:rPr>
        <w:t>Use of Proceeds</w:t>
      </w:r>
      <w:r>
        <w:rPr>
          <w:rFonts w:cs="CG Times" w:ascii="CG Times" w:hAnsi="CG Times"/>
          <w:sz w:val="20"/>
        </w:rPr>
        <w:tab/>
        <w:t>Net proceeds will be utilized for general corporate purposes, product development, working capital, and to fund the Company’s expansion.</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rPr>
          <w:rFonts w:ascii="CG Times" w:hAnsi="CG Times" w:cs="CG Times"/>
          <w:b/>
          <w:sz w:val="20"/>
        </w:rPr>
      </w:pPr>
      <w:r>
        <w:rPr>
          <w:rFonts w:cs="CG Times" w:ascii="CG Times" w:hAnsi="CG Times"/>
          <w:b/>
          <w:sz w:val="20"/>
          <w:u w:val="single"/>
        </w:rPr>
        <w:t>1.  TERMS OF SERIES A PREFERRED STOCK</w:t>
      </w:r>
    </w:p>
    <w:p>
      <w:pPr>
        <w:pStyle w:val="Normal"/>
        <w:tabs>
          <w:tab w:val="clear" w:pos="720"/>
          <w:tab w:val="left" w:pos="-1440" w:leader="none"/>
          <w:tab w:val="left" w:pos="-720" w:leader="none"/>
          <w:tab w:val="left" w:pos="2880" w:leader="none"/>
        </w:tabs>
        <w:suppressAutoHyphens w:val="true"/>
        <w:spacing w:before="0" w:after="240"/>
        <w:ind w:hanging="2880" w:start="2880" w:end="0"/>
        <w:rPr/>
      </w:pPr>
      <w:r>
        <w:rPr>
          <w:rFonts w:cs="CG Times" w:ascii="CG Times" w:hAnsi="CG Times"/>
          <w:b/>
          <w:sz w:val="20"/>
        </w:rPr>
        <w:t>Dividends:</w:t>
      </w:r>
      <w:r>
        <w:rPr>
          <w:rFonts w:cs="CG Times" w:ascii="CG Times" w:hAnsi="CG Times"/>
          <w:sz w:val="20"/>
        </w:rPr>
        <w:tab/>
        <w:t>The holders of the Series A Preferred shall be entitled to receive cumulative dividends in preference to any dividend on the Common Stock at the rate of 10% of the Original Purchase Price per annum, when and as declared by the Board of Directors, to be paid in Company stock.  The holders of Series A Preferred also shall be entitled to participate pro rata in any dividends paid on the Common Stock on an as-if-converted basis.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Liquidation Preference:</w:t>
      </w:r>
      <w:r>
        <w:rPr>
          <w:rFonts w:cs="CG Times" w:ascii="CG Times" w:hAnsi="CG Times"/>
          <w:sz w:val="20"/>
        </w:rPr>
        <w:tab/>
        <w:t>In the event of any liquidation or winding up of the Company, the holders of the Series A Preferred shall be entitled to receive in preference to the holders of the Common Stock a per share amount equal to two times the Original Purchase Price plus any declared but unpaid dividends (the “Liquidation Preference”).</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 xml:space="preserve">After the payment of the Liquidation Preference to the holders of the Series A Preferred, the remaining assets shall be distributed ratably to the holders of the Common Stock and the Series A Preferred on a common equivalent basis.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A merger, acquisition or sale of substantially all of the assets of the Company in which the shareholders of the Company do not own a majority of the outstanding shares of the surviving corporation shall be deemed to be a liquidation.</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Conversion:</w:t>
      </w:r>
      <w:r>
        <w:rPr>
          <w:rFonts w:cs="CG Times" w:ascii="CG Times" w:hAnsi="CG Times"/>
          <w:sz w:val="20"/>
        </w:rPr>
        <w:tab/>
        <w:t>The holders of the Series A Preferred shall have the right to convert the Series A Preferred, at any time, into shares of Common Stock.  The initial conversion rate shall be 1:1, subject to adjustment as provided below.</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Automatic Conversion:</w:t>
      </w:r>
      <w:r>
        <w:rPr>
          <w:rFonts w:cs="CG Times" w:ascii="CG Times" w:hAnsi="CG Times"/>
          <w:sz w:val="20"/>
        </w:rPr>
        <w:tab/>
        <w:t>The Series A Preferred shall be automatically converted into Common Stock, at the then applicable conversion price, (i) in the event that the holders of at least 66 2/3% of the outstanding Series A Preferred consent to such conversion or (ii) upon the closing of a firmly underwritten public offering of shares of Common Stock of the Company at a per share price not less than three times the Original Purchase Price (as adjusted for stock splits, stock dividends and the like) per share or for a total offering of not less than $25 million (before deduction of underwriters commissions and expenses)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Antidilution Provisions:</w:t>
      </w:r>
      <w:r>
        <w:rPr>
          <w:rFonts w:cs="CG Times" w:ascii="CG Times" w:hAnsi="CG Times"/>
          <w:sz w:val="20"/>
        </w:rPr>
        <w:tab/>
        <w:t>The conversion price of the Series A Preferred will be subject to a full ratchet adjustment to reduce dilution in the event that the Company issues additional equity securities (other than shares reserved as employee shares described under “Employee Pool” below or securities issued pursuant to partnering arrangements, capital leases or other standard exceptions) at a purchase price less than the applicable conversion price.  The conversion price will also be subject to proportional adjustment for stock splits, stock dividends, recapitalizations and the like.</w:t>
      </w:r>
    </w:p>
    <w:p>
      <w:pPr>
        <w:pStyle w:val="Normal"/>
        <w:tabs>
          <w:tab w:val="clear" w:pos="720"/>
          <w:tab w:val="left" w:pos="-1440" w:leader="none"/>
          <w:tab w:val="left" w:pos="-720" w:leader="none"/>
          <w:tab w:val="left" w:pos="2880" w:leader="none"/>
          <w:tab w:val="left" w:pos="7164" w:leader="none"/>
          <w:tab w:val="left" w:pos="7878" w:leader="none"/>
        </w:tabs>
        <w:suppressAutoHyphens w:val="true"/>
        <w:rPr>
          <w:rFonts w:ascii="CG Times" w:hAnsi="CG Times" w:cs="CG Times"/>
          <w:b/>
          <w:sz w:val="20"/>
        </w:rPr>
      </w:pPr>
      <w:r>
        <w:rPr>
          <w:rFonts w:cs="CG Times" w:ascii="CG Times" w:hAnsi="CG Times"/>
          <w:b/>
          <w:sz w:val="20"/>
        </w:rPr>
        <w:t>Redemption at Option</w:t>
      </w:r>
    </w:p>
    <w:p>
      <w:pPr>
        <w:pStyle w:val="BodyTextIndent2"/>
        <w:widowControl/>
        <w:rPr/>
      </w:pPr>
      <w:r>
        <w:rPr>
          <w:rFonts w:cs="CG Times" w:ascii="CG Times" w:hAnsi="CG Times"/>
          <w:b/>
          <w:sz w:val="20"/>
        </w:rPr>
        <w:t>of Investors:</w:t>
      </w:r>
      <w:r>
        <w:rPr>
          <w:rFonts w:cs="CG Times" w:ascii="CG Times" w:hAnsi="CG Times"/>
          <w:sz w:val="20"/>
        </w:rPr>
        <w:tab/>
        <w:t>At the election of the holders of at least 66 2/3% of the Series A Preferred, the Company shall redeem the outstanding Series A Preferred in three annual installments beginning on the fifth anniversary of the Closing.  Such redemptions shall be at a purchase price equal to the Original Purchase Price plus declared and unpaid dividends.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Voting Rights:</w:t>
      </w:r>
      <w:r>
        <w:rPr>
          <w:rFonts w:cs="CG Times" w:ascii="CG Times" w:hAnsi="CG Times"/>
          <w:sz w:val="20"/>
        </w:rPr>
        <w:tab/>
        <w:t>The Series A Preferred will vote together with the Common Stock and not as a separate class except as specifically provided herein or as otherwise required by law.  Each share of Series A Preferred shall have a number of votes equal to the number of shares of Common Stock then issuable upon conversion of such share of Series A Preferred.</w:t>
      </w:r>
    </w:p>
    <w:p>
      <w:pPr>
        <w:pStyle w:val="BodyTextIndent2"/>
        <w:widowControl/>
        <w:rPr/>
      </w:pPr>
      <w:r>
        <w:rPr>
          <w:rFonts w:cs="CG Times" w:ascii="CG Times" w:hAnsi="CG Times"/>
          <w:b/>
          <w:sz w:val="20"/>
        </w:rPr>
        <w:t>Board of Directors:</w:t>
      </w:r>
      <w:r>
        <w:rPr>
          <w:rFonts w:cs="CG Times" w:ascii="CG Times" w:hAnsi="CG Times"/>
          <w:sz w:val="20"/>
        </w:rPr>
        <w:tab/>
        <w:t>The maximum size of the Company’s Board of Directors shall be set at five.  The Board shall initially be composed of three members appointed by the holders of the Series A Preferred, one member to be appointed by the Common Stock holders, and the Chief Executive Officer of the Company.</w:t>
      </w:r>
    </w:p>
    <w:p>
      <w:pPr>
        <w:pStyle w:val="BodyTextIndent2"/>
        <w:widowControl/>
        <w:rPr>
          <w:rFonts w:ascii="CG Times" w:hAnsi="CG Times" w:cs="CG Times"/>
          <w:sz w:val="20"/>
        </w:rPr>
      </w:pPr>
      <w:r>
        <w:rPr>
          <w:rFonts w:cs="CG Times" w:ascii="CG Times" w:hAnsi="CG Times"/>
          <w:sz w:val="20"/>
        </w:rPr>
        <w:tab/>
        <w:t>The Company shall reimburse all directors, advisors and observers for reasonable costs and expenses incurred in attending meetings of the Board of Directors and other meetings or events attended on behalf of the Company.</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Protective Provisions:</w:t>
      </w:r>
      <w:r>
        <w:rPr>
          <w:rFonts w:cs="CG Times" w:ascii="CG Times" w:hAnsi="CG Times"/>
          <w:sz w:val="20"/>
        </w:rPr>
        <w:tab/>
        <w:t>For so long as any shares of Series A Preferred remain outstanding, the consent of the holders of at least 66 2/3% of the Series A Preferred shall be required for any action that (i) alters or changes the rights, preferences or privileges of the Series A Preferred, (ii) increases or decreases the authorized number of shares of Common or Preferred Stock, (iii) creates (by reclassification or otherwise) any new class or series of shares having rights, preferences or privileges senior to or on a parity with the Series A Preferred, (iv) results in the redemption or repurchase of any shares of Common Stock (other than redemptions at cost pursuant to equity incentive agreements with employees giving the Company the right to repurchase shares upon the termination of services), (v) results in any merger, other corporate reorganization or business combination, sale of control, or any transaction in which all or substantially all of the assets of the Company are sold, (vi) amends or waives any provision of the Company’s Certificate of Incorporation or Bylaws (vii) increases or decreases the authorized size of the Company’s Board of Directors, (viii) results in the payment or declaration of any dividend on any shares of Common or Preferred Stock, or (ix) results in the issuance of debt in excess of $500,000 (other than accounts receivable or inventory financing.)</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i/>
          <w:i/>
          <w:sz w:val="20"/>
        </w:rPr>
      </w:pPr>
      <w:r>
        <w:rPr>
          <w:rFonts w:cs="CG Times" w:ascii="CG Times" w:hAnsi="CG Times"/>
          <w:b/>
          <w:sz w:val="20"/>
        </w:rPr>
        <w:t>Information Rights:</w:t>
      </w:r>
      <w:r>
        <w:rPr>
          <w:rFonts w:cs="CG Times" w:ascii="CG Times" w:hAnsi="CG Times"/>
          <w:sz w:val="20"/>
        </w:rPr>
        <w:tab/>
        <w:t>So long as an Investor continues to hold shares of Series A Preferred or Common Stock issued upon conversion of the Series A Preferred, with an original purchase price of at least $100,000 (a “Major Investor”), the Company shall deliver to each Major Investor annual, quarterly and monthly financial statements (compared against the Company’s operating plan).  The Company shall also deliver to each Major Investor within 30 days prior to the beginning of each fiscal year a copy of the Company’s annual operating plan.  Each Investor shall also be entitled to standard inspection and visitation rights.  These provisions shall terminate upon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Registration Rights:</w:t>
      </w:r>
      <w:r>
        <w:rPr>
          <w:rFonts w:cs="CG Times" w:ascii="CG Times" w:hAnsi="CG Times"/>
          <w:sz w:val="20"/>
        </w:rPr>
        <w:tab/>
      </w:r>
      <w:r>
        <w:rPr>
          <w:rFonts w:cs="CG Times" w:ascii="CG Times" w:hAnsi="CG Times"/>
          <w:sz w:val="20"/>
          <w:u w:val="single"/>
        </w:rPr>
        <w:t>Demand Rights</w:t>
      </w:r>
      <w:r>
        <w:rPr>
          <w:rFonts w:cs="CG Times" w:ascii="CG Times" w:hAnsi="CG Times"/>
          <w:sz w:val="20"/>
        </w:rPr>
        <w:t>: If Investors holding more than 50% of the outstanding shares of Series A Preferred, including Common Stock issued on conversion of Series A Preferred (“Registerable Securities”), or with a minimum aggregate offering price to the public of not less than $10,000,000, request that the Company file a Registration Statement, the Company will use its best efforts to cause such shares to be registered; provided, however, that the Company shall not be obligated to effect any such registration prior to the third anniversary of the Closing.  The Company shall have the right to delay such registration under certain circumstances for one period not in excess of ninety (90) days in any twelve (12) month period.</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The Company shall not be obligated to effect more than three (3) registrations under these demand right provisions, and shall not be obligated to effect a registration (i) during the one hundred eighty (180) day period commencing with the date of the Company’s initial public offering, or (ii) if it delivers notice to the holders of the Registrable Securities within thirty (30) days of any registration request of its intent to file a registration statement within ninety (90) days.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Company Registration</w:t>
      </w:r>
      <w:r>
        <w:rPr>
          <w:rFonts w:cs="CG Times" w:ascii="CG Times" w:hAnsi="CG Times"/>
          <w:sz w:val="20"/>
        </w:rPr>
        <w:t xml:space="preserve">:  The Investors shall be entitled to “piggy-back” registration rights on all registrations of the Company or on any demand registrations of any other investor subject to the right, however, of the Company and its underwriters to reduce the number of shares proposed to be registered pro rata in view of market conditions.  If the Investors are so reduced, all other parties with equivalent registration rights shall also be reduced on a pro rata basis, and no other party shall sell shares in such registration other than the Company or the Investors, if any, invoking the demand registration.  Unless the registration is with respect to the Company’s initial public offering, the shares to be sold by the Investors shall not be reduced below 25% of the total amount of securities included in the registration unless the underwriters require a cut back below 25% due to market conditions.  No shareholder of the Company shall be granted piggyback registration rights which would reduce the number of shares includable by the holders of the Registrable Securities in such registration that is being cut back without the consent of the holders of at least a majority of the Registrable Securities.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S-3 Rights</w:t>
      </w:r>
      <w:r>
        <w:rPr>
          <w:rFonts w:cs="CG Times" w:ascii="CG Times" w:hAnsi="CG Times"/>
          <w:sz w:val="20"/>
        </w:rPr>
        <w:t xml:space="preserve">:  Investors shall be entitled to unlimited demand registrations on Form S-3 (if available to the Company) so long as such registered offerings are not less than $1,000,000.  The Company may defer an S-3 filing for up to 90 days once in any 12-month period.  The Company shall not be obligated to effect more than two (2) S-3 registrations at Investors’ request during any 12-month period.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Termination of Registration Rights</w:t>
      </w:r>
      <w:r>
        <w:rPr>
          <w:rFonts w:cs="CG Times" w:ascii="CG Times" w:hAnsi="CG Times"/>
          <w:sz w:val="20"/>
        </w:rPr>
        <w:t xml:space="preserve">:  Registration rights terminate on the earlier of: (i) three years after a Qualified IPO or (ii) when all shares held by an Investor can be sold under Rule 144 within a 90-day period.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Expenses</w:t>
      </w:r>
      <w:r>
        <w:rPr>
          <w:rFonts w:cs="CG Times" w:ascii="CG Times" w:hAnsi="CG Times"/>
          <w:sz w:val="20"/>
        </w:rPr>
        <w:t>:  The Company shall bear registration expenses (exclusive of underwriting discounts and commissions) of all such demand, “piggy-back,” and S-3 registrations (including the expense of one special counsel of the selling shareholders not to exceed $35,000).</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Transfer of Rights</w:t>
      </w:r>
      <w:r>
        <w:rPr>
          <w:rFonts w:cs="CG Times" w:ascii="CG Times" w:hAnsi="CG Times"/>
          <w:sz w:val="20"/>
        </w:rPr>
        <w:t>:  The registration rights may be transferred to (i) any partner or retired partner of any Investor which is a partnership, (ii) any member or former member of any Investor which is a limited liability company, (iii) any family member or trust for the benefit of any individual holder, or (iv) any transferee who or that satisfies the criteria to be a Major Investor; provided the Company is given written notice thereof.</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Lock-Up Provision</w:t>
      </w:r>
      <w:r>
        <w:rPr>
          <w:rFonts w:cs="CG Times" w:ascii="CG Times" w:hAnsi="CG Times"/>
          <w:sz w:val="20"/>
        </w:rPr>
        <w:t>: Each Investor agrees that it will not sell its shares for a specified period (but not to exceed 180 days) following the effective date of the Company’s initial public offering; provided that all officers, directors, and other shareholders holding comparable amounts of securities are similarly bound.</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sz w:val="20"/>
        </w:rPr>
        <w:tab/>
      </w:r>
      <w:r>
        <w:rPr>
          <w:rFonts w:cs="CG Times" w:ascii="CG Times" w:hAnsi="CG Times"/>
          <w:sz w:val="20"/>
          <w:u w:val="single"/>
        </w:rPr>
        <w:t>Other Provisions</w:t>
      </w:r>
      <w:r>
        <w:rPr>
          <w:rFonts w:cs="CG Times" w:ascii="CG Times" w:hAnsi="CG Times"/>
          <w:sz w:val="20"/>
        </w:rPr>
        <w:t>: Other provisions shall be contained in the Investor Rights Agreement with respect to registration rights as are reasonable and customary, including cross-indemnification, the period of time in which a registration statement shall be kept effective, and underwriting arrangements.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Right of First Refusal:</w:t>
      </w:r>
      <w:r>
        <w:rPr>
          <w:rFonts w:cs="CG Times" w:ascii="CG Times" w:hAnsi="CG Times"/>
          <w:sz w:val="20"/>
        </w:rPr>
        <w:tab/>
        <w:t xml:space="preserve">Each Major Investor and the Founders (as defined below) shall have the right, in the event the Company proposes to offer equity securities to any person (other than shares reserved as employee shares described under “Employee Pool” below or securities issued pursuant to partnering arrangements, capital leases, acquisitions or other standard exceptions), to purchase its pro rata portion of such securities.  Any securities not subscribed for by a Major Investor nor by a Founder shall be reoffered to other Major Investors or Founders.  If the Major Investors or Founders do not purchase all of the securities, that portion that is not purchased may be offered to other parties, on terms no less favorable to the Company, for a period of 90 days.  This right of first refusal will terminate immediately prior to the closing of a Qualified IPO.  In addition, this right of first refusal shall only apply to Founders that, at the time of exercise of such right (i) qualify as “accredited investors”, as defined in Regulation D under the Securities Act of 1933, as amended and (ii) if an individual, are currently employed by the Company.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Purchase Agreement:</w:t>
      </w:r>
      <w:r>
        <w:rPr>
          <w:rFonts w:cs="CG Times" w:ascii="CG Times" w:hAnsi="CG Times"/>
          <w:sz w:val="20"/>
        </w:rPr>
        <w:tab/>
        <w:t xml:space="preserve">The Financing shall be made pursuant to a Stock Purchase Agreement reasonably acceptable to the Company and the Investors, which agreement shall contain, among other things, appropriate representations and warranties of the Company, covenants of the Company reflecting the provisions set forth herein and appropriate conditions of closing, including a management rights letter and an opinion of counsel for the Company. </w:t>
      </w:r>
    </w:p>
    <w:p>
      <w:pPr>
        <w:pStyle w:val="BodyTextIndent3"/>
        <w:rPr/>
      </w:pPr>
      <w:r>
        <w:rPr>
          <w:b/>
          <w:sz w:val="20"/>
        </w:rPr>
        <w:t>Shareholders Agreement</w:t>
      </w:r>
      <w:r>
        <w:rPr>
          <w:sz w:val="20"/>
        </w:rPr>
        <w:tab/>
        <w:t>At Closing, all Shareholders will sign a Shareholders Agreement, which provides customary Registration Rights, Rights of First Offer, Tag-Along Rights, Antidilution Rights, Drag-Along Rights, Observation Rights and Inspection Rights and other rights contemplated by this term sheet or customary for transactions like the Financing. There will be no other Shareholder Agreements without the Investors consent.</w:t>
      </w:r>
    </w:p>
    <w:p>
      <w:pPr>
        <w:pStyle w:val="Normal"/>
        <w:keepNext w:val="true"/>
        <w:keepLines/>
        <w:tabs>
          <w:tab w:val="clear" w:pos="720"/>
          <w:tab w:val="left" w:pos="-1440" w:leader="none"/>
          <w:tab w:val="left" w:pos="-720" w:leader="none"/>
          <w:tab w:val="left" w:pos="2880" w:leader="none"/>
          <w:tab w:val="left" w:pos="7164" w:leader="none"/>
          <w:tab w:val="left" w:pos="7878" w:leader="none"/>
        </w:tabs>
        <w:suppressAutoHyphens w:val="true"/>
        <w:spacing w:before="0" w:after="240"/>
        <w:rPr>
          <w:rFonts w:ascii="CG Times" w:hAnsi="CG Times" w:cs="CG Times"/>
          <w:b/>
          <w:sz w:val="20"/>
        </w:rPr>
      </w:pPr>
      <w:r>
        <w:rPr>
          <w:rFonts w:cs="CG Times" w:ascii="CG Times" w:hAnsi="CG Times"/>
          <w:b/>
          <w:sz w:val="20"/>
          <w:u w:val="single"/>
        </w:rPr>
        <w:t>2.  EMPLOYEE MATTERS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Employee Pool:</w:t>
      </w:r>
      <w:r>
        <w:rPr>
          <w:rFonts w:cs="CG Times" w:ascii="CG Times" w:hAnsi="CG Times"/>
          <w:sz w:val="20"/>
        </w:rPr>
        <w:tab/>
        <w:t>As of the closing of the Financing, the Company will have 500,000 shares (19.6% of the total shares) of its Common Stock reserved for issuances to directors, officers, employees and consultants (“Employee Pool”).</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Stock Vesting:</w:t>
      </w:r>
      <w:r>
        <w:rPr>
          <w:rFonts w:cs="CG Times" w:ascii="CG Times" w:hAnsi="CG Times"/>
          <w:sz w:val="20"/>
        </w:rPr>
        <w:tab/>
        <w:t xml:space="preserve">All stock and stock equivalents issued after the Closing to employees, officers, directors, consultants and will be subject to vesting as follows (unless different vesting is approved by the unanimous consent of the Board of Directors):  25% to vest at the end of the first year following such issuance, with the remaining 75% to vest monthly over the next three years.  Any issuance of shares in excess of the Employee Pool not approved by the Board will be a dilutive event requiring adjustment of the conversion price as provided above and will be subject to the Major Investors' and the Founders’ right of first refusal as described above.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rFonts w:ascii="CG Times" w:hAnsi="CG Times" w:cs="CG Times"/>
          <w:sz w:val="20"/>
        </w:rPr>
      </w:pPr>
      <w:r>
        <w:rPr>
          <w:rFonts w:cs="CG Times" w:ascii="CG Times" w:hAnsi="CG Times"/>
          <w:sz w:val="20"/>
        </w:rPr>
        <w:tab/>
        <w:t xml:space="preserve">The vesting of options granted to senior officers of the Company under the Employee Pool will be subject to “double trigger” acceleration upon a change in control (sale or merger involving the Company) which will provide for acceleration of vesting only upon (i) a change in control and (ii) the termination by the Company of the optionholder’s employment, other than for cause, following such change in control.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Employment Agreements:</w:t>
      </w:r>
      <w:r>
        <w:rPr>
          <w:rFonts w:cs="CG Times" w:ascii="CG Times" w:hAnsi="CG Times"/>
          <w:sz w:val="20"/>
        </w:rPr>
        <w:tab/>
        <w:t>Employment agreements will specify the terms of employment for Jennifer Binder and other employees of the Company as determined from time to time by the Board of Directors.</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Restrictions on Sales:</w:t>
      </w:r>
      <w:r>
        <w:rPr>
          <w:rFonts w:cs="CG Times" w:ascii="CG Times" w:hAnsi="CG Times"/>
          <w:sz w:val="20"/>
        </w:rPr>
        <w:tab/>
        <w:t xml:space="preserve">The Shareholders Agreement shall contain a right of first refusal in favor of the Company on all transfers of Common Stock, subject to normal exceptions.  If the Company elects not to exercise its right, the Company shall assign its right to the Investors and the Founders on a pro-rata basis.  </w:t>
      </w:r>
    </w:p>
    <w:p>
      <w:pPr>
        <w:pStyle w:val="Normal"/>
        <w:tabs>
          <w:tab w:val="clear" w:pos="720"/>
          <w:tab w:val="left" w:pos="-1440" w:leader="none"/>
          <w:tab w:val="left" w:pos="-720" w:leader="none"/>
          <w:tab w:val="left" w:pos="2880" w:leader="none"/>
          <w:tab w:val="left" w:pos="7164" w:leader="none"/>
          <w:tab w:val="left" w:pos="7878" w:leader="none"/>
        </w:tabs>
        <w:suppressAutoHyphens w:val="true"/>
        <w:rPr>
          <w:rFonts w:ascii="CG Times" w:hAnsi="CG Times" w:cs="CG Times"/>
          <w:b/>
          <w:sz w:val="20"/>
        </w:rPr>
      </w:pPr>
      <w:r>
        <w:rPr>
          <w:rFonts w:cs="CG Times" w:ascii="CG Times" w:hAnsi="CG Times"/>
          <w:b/>
          <w:sz w:val="20"/>
        </w:rPr>
        <w:t xml:space="preserve">Proprietary Information </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and Inventions Agreement:</w:t>
      </w:r>
      <w:r>
        <w:rPr>
          <w:rFonts w:cs="CG Times" w:ascii="CG Times" w:hAnsi="CG Times"/>
          <w:sz w:val="20"/>
        </w:rPr>
        <w:tab/>
        <w:t>Each officer, employee and consultant of the Company shall enter into an acceptable proprietary information and inventions agreement.</w:t>
      </w:r>
    </w:p>
    <w:p>
      <w:pPr>
        <w:pStyle w:val="BodyTextIndent2"/>
        <w:widowControl/>
        <w:rPr/>
      </w:pPr>
      <w:r>
        <w:rPr>
          <w:rFonts w:cs="CG Times" w:ascii="CG Times" w:hAnsi="CG Times"/>
          <w:b/>
          <w:sz w:val="20"/>
        </w:rPr>
        <w:t>Co-Sale Agreement:</w:t>
      </w:r>
      <w:r>
        <w:rPr>
          <w:rFonts w:cs="CG Times" w:ascii="CG Times" w:hAnsi="CG Times"/>
          <w:sz w:val="20"/>
        </w:rPr>
        <w:tab/>
        <w:t>The shares of the Company’s securities held by the Jennifer Binder (“Founder” shares) shall be made subject to a co-sale agreement (with certain reasonable exceptions) with the Investors such that the Founder may not sell, transfer or exchange stock unless each Investor has an opportunity to participate in the sale on a pro-rata basis.  The co-sale agreement shall include a bar on the granting of irrevocable proxies by the Founder.  This right of co-sale shall not apply to, and shall terminate upon, a Qualified IPO.</w:t>
      </w:r>
    </w:p>
    <w:p>
      <w:pPr>
        <w:pStyle w:val="Normal"/>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rPr/>
      </w:pPr>
      <w:r>
        <w:rPr>
          <w:rFonts w:cs="CG Times" w:ascii="CG Times" w:hAnsi="CG Times"/>
          <w:b/>
          <w:sz w:val="20"/>
        </w:rPr>
        <w:t>Key-Man Insurance:</w:t>
      </w:r>
      <w:r>
        <w:rPr>
          <w:rFonts w:cs="CG Times" w:ascii="CG Times" w:hAnsi="CG Times"/>
          <w:sz w:val="20"/>
        </w:rPr>
        <w:tab/>
        <w:t>The Company shall procure a key-man life insurance policy for Jennifer Binder in the amount of $750,000, naming the Company as beneficiary.</w:t>
      </w:r>
    </w:p>
    <w:p>
      <w:pPr>
        <w:pStyle w:val="Normal"/>
        <w:tabs>
          <w:tab w:val="clear" w:pos="720"/>
          <w:tab w:val="left" w:pos="-1440" w:leader="none"/>
          <w:tab w:val="left" w:pos="-720" w:leader="none"/>
          <w:tab w:val="left" w:pos="2880" w:leader="none"/>
          <w:tab w:val="left" w:pos="3234" w:leader="none"/>
        </w:tabs>
        <w:suppressAutoHyphens w:val="true"/>
        <w:spacing w:before="0" w:after="240"/>
        <w:rPr>
          <w:rFonts w:ascii="CG Times" w:hAnsi="CG Times" w:cs="CG Times"/>
          <w:b/>
          <w:sz w:val="20"/>
        </w:rPr>
      </w:pPr>
      <w:r>
        <w:rPr>
          <w:rFonts w:cs="CG Times" w:ascii="CG Times" w:hAnsi="CG Times"/>
          <w:b/>
          <w:sz w:val="20"/>
          <w:u w:val="single"/>
        </w:rPr>
        <w:t>3.  OTHER MATTERS</w:t>
      </w:r>
    </w:p>
    <w:p>
      <w:pPr>
        <w:pStyle w:val="Heading1Para"/>
        <w:tabs>
          <w:tab w:val="clear" w:pos="720"/>
          <w:tab w:val="left" w:pos="2880" w:leader="none"/>
        </w:tabs>
        <w:spacing w:before="0" w:after="0"/>
        <w:ind w:hanging="2880" w:start="2880" w:end="0"/>
        <w:jc w:val="both"/>
        <w:rPr/>
      </w:pPr>
      <w:r>
        <w:rPr>
          <w:rStyle w:val="ParagraphNumber"/>
          <w:rFonts w:cs="CG Times" w:ascii="CG Times" w:hAnsi="CG Times"/>
          <w:b/>
          <w:sz w:val="20"/>
        </w:rPr>
        <w:t>Assignment:</w:t>
      </w:r>
      <w:r>
        <w:rPr>
          <w:rStyle w:val="ParagraphNumber"/>
          <w:rFonts w:cs="CG Times" w:ascii="CG Times" w:hAnsi="CG Times"/>
          <w:sz w:val="20"/>
        </w:rPr>
        <w:tab/>
        <w:t>Each of the Investors shall be entitled to transfer all or part of its shares of Series A Preferred purchased by it to one or more affiliated partnerships or funds managed by it or any or their respective directors, officers or partners, provided such transferee agrees in writing to be subject to the terms of the Stock Purchase Agreement and related agreements as if it were a purchaser thereunder.</w:t>
      </w:r>
    </w:p>
    <w:p>
      <w:pPr>
        <w:pStyle w:val="Heading1Para"/>
        <w:tabs>
          <w:tab w:val="clear" w:pos="720"/>
          <w:tab w:val="left" w:pos="2880" w:leader="none"/>
        </w:tabs>
        <w:spacing w:before="0" w:after="0"/>
        <w:ind w:hanging="2880" w:start="2880" w:end="0"/>
        <w:jc w:val="both"/>
        <w:rPr>
          <w:rStyle w:val="ParagraphNumber"/>
          <w:rFonts w:ascii="CG Times" w:hAnsi="CG Times" w:cs="CG Times"/>
          <w:b/>
          <w:sz w:val="20"/>
        </w:rPr>
      </w:pPr>
      <w:r>
        <w:rPr/>
      </w:r>
    </w:p>
    <w:p>
      <w:pPr>
        <w:pStyle w:val="Heading1Para"/>
        <w:tabs>
          <w:tab w:val="clear" w:pos="720"/>
          <w:tab w:val="left" w:pos="2880" w:leader="none"/>
        </w:tabs>
        <w:spacing w:before="0" w:after="0"/>
        <w:ind w:hanging="2880" w:start="2880" w:end="0"/>
        <w:jc w:val="both"/>
        <w:rPr/>
      </w:pPr>
      <w:r>
        <w:rPr>
          <w:rStyle w:val="ParagraphNumber"/>
          <w:rFonts w:cs="CG Times" w:ascii="CG Times" w:hAnsi="CG Times"/>
          <w:b/>
          <w:sz w:val="20"/>
        </w:rPr>
        <w:t>Indemnification:</w:t>
      </w:r>
      <w:r>
        <w:rPr>
          <w:rStyle w:val="ParagraphNumber"/>
          <w:rFonts w:cs="CG Times" w:ascii="CG Times" w:hAnsi="CG Times"/>
          <w:sz w:val="20"/>
        </w:rPr>
        <w:tab/>
        <w:t>The Company shall indemnify board members to the broadest extent permitted by applicable law and the Company shall indemnify the Investors for any claims brought against the Investors by third parties (including any shareholder of the Company) as a result of the Financing.</w:t>
      </w:r>
    </w:p>
    <w:p>
      <w:pPr>
        <w:pStyle w:val="Heading1Para"/>
        <w:tabs>
          <w:tab w:val="clear" w:pos="720"/>
          <w:tab w:val="left" w:pos="2880" w:leader="none"/>
        </w:tabs>
        <w:spacing w:before="0" w:after="0"/>
        <w:jc w:val="both"/>
        <w:rPr>
          <w:rStyle w:val="ParagraphNumber"/>
          <w:rFonts w:ascii="CG Times" w:hAnsi="CG Times" w:cs="CG Times"/>
          <w:sz w:val="20"/>
        </w:rPr>
      </w:pPr>
      <w:r>
        <w:rPr/>
      </w:r>
    </w:p>
    <w:p>
      <w:pPr>
        <w:pStyle w:val="Heading1Para"/>
        <w:tabs>
          <w:tab w:val="clear" w:pos="720"/>
          <w:tab w:val="left" w:pos="2880" w:leader="none"/>
        </w:tabs>
        <w:spacing w:before="0" w:after="0"/>
        <w:jc w:val="both"/>
        <w:rPr/>
      </w:pPr>
      <w:r>
        <w:rPr>
          <w:rStyle w:val="ParagraphNumber"/>
          <w:rFonts w:cs="CG Times" w:ascii="CG Times" w:hAnsi="CG Times"/>
          <w:b/>
          <w:sz w:val="20"/>
        </w:rPr>
        <w:t>Conditions Precedent</w:t>
      </w:r>
    </w:p>
    <w:p>
      <w:pPr>
        <w:pStyle w:val="Heading1Para"/>
        <w:tabs>
          <w:tab w:val="clear" w:pos="720"/>
          <w:tab w:val="left" w:pos="2880" w:leader="none"/>
        </w:tabs>
        <w:ind w:hanging="2790" w:start="2790" w:end="0"/>
        <w:jc w:val="both"/>
        <w:rPr/>
      </w:pPr>
      <w:r>
        <w:rPr>
          <w:rStyle w:val="ParagraphNumber"/>
          <w:rFonts w:cs="CG Times" w:ascii="CG Times" w:hAnsi="CG Times"/>
          <w:b/>
          <w:sz w:val="20"/>
        </w:rPr>
        <w:t>to Financing:</w:t>
      </w:r>
      <w:r>
        <w:rPr>
          <w:rStyle w:val="ParagraphNumber"/>
          <w:rFonts w:cs="CG Times" w:ascii="CG Times" w:hAnsi="CG Times"/>
          <w:sz w:val="20"/>
        </w:rPr>
        <w:tab/>
        <w:t>This summary of terms is not intended as a legally binding commitment by the Investors, and any obligation on the part of the Investors is subject to the following conditions precedent:</w:t>
      </w:r>
    </w:p>
    <w:p>
      <w:pPr>
        <w:pStyle w:val="Heading1Para"/>
        <w:tabs>
          <w:tab w:val="clear" w:pos="720"/>
          <w:tab w:val="left" w:pos="2880" w:leader="none"/>
        </w:tabs>
        <w:ind w:hanging="720" w:start="3600" w:end="0"/>
        <w:jc w:val="both"/>
        <w:rPr/>
      </w:pPr>
      <w:r>
        <w:rPr>
          <w:rStyle w:val="ParagraphNumber"/>
          <w:rFonts w:cs="CG Times" w:ascii="CG Times" w:hAnsi="CG Times"/>
          <w:sz w:val="20"/>
        </w:rPr>
        <w:t>1.</w:t>
        <w:tab/>
        <w:t>Completion of legal documentation satisfactory to the prospective Investors, including customary representations and warranties made by the Company.</w:t>
      </w:r>
    </w:p>
    <w:p>
      <w:pPr>
        <w:pStyle w:val="Heading1Para"/>
        <w:ind w:hanging="720" w:start="3600" w:end="0"/>
        <w:jc w:val="both"/>
        <w:rPr/>
      </w:pPr>
      <w:r>
        <w:rPr>
          <w:rFonts w:cs="CG Times" w:ascii="CG Times" w:hAnsi="CG Times"/>
          <w:sz w:val="20"/>
        </w:rPr>
        <w:t>2.</w:t>
        <w:tab/>
        <w:t>Satisfactory completion of due diligence by the prospective Investors.</w:t>
      </w:r>
    </w:p>
    <w:p>
      <w:pPr>
        <w:pStyle w:val="BodyText"/>
        <w:tabs>
          <w:tab w:val="clear" w:pos="720"/>
          <w:tab w:val="left" w:pos="3600" w:leader="none"/>
        </w:tabs>
        <w:ind w:hanging="720" w:start="3600" w:end="0"/>
        <w:rPr>
          <w:rFonts w:ascii="CG Times" w:hAnsi="CG Times" w:cs="CG Times"/>
          <w:sz w:val="20"/>
        </w:rPr>
      </w:pPr>
      <w:r>
        <w:rPr>
          <w:rFonts w:cs="CG Times" w:ascii="CG Times" w:hAnsi="CG Times"/>
          <w:sz w:val="20"/>
        </w:rPr>
        <w:t>3.</w:t>
        <w:tab/>
        <w:t>Incorporation of the Company in Delaware as a C Corporation shall occur concurrent with, or immediately prior to, the completion of the Financing.</w:t>
      </w:r>
    </w:p>
    <w:p>
      <w:pPr>
        <w:pStyle w:val="BodyText"/>
        <w:numPr>
          <w:ilvl w:val="0"/>
          <w:numId w:val="2"/>
        </w:numPr>
        <w:rPr>
          <w:rFonts w:ascii="CG Times" w:hAnsi="CG Times" w:cs="CG Times"/>
          <w:sz w:val="20"/>
        </w:rPr>
      </w:pPr>
      <w:r>
        <w:rPr>
          <w:rFonts w:cs="CG Times" w:ascii="CG Times" w:hAnsi="CG Times"/>
          <w:sz w:val="20"/>
        </w:rPr>
        <w:t>Review of the balance sheet, cash flow and income statement (“Financial Statements”) for the year ended 2000 and the monthly Financial Statements for each month of 2001.</w:t>
      </w:r>
    </w:p>
    <w:p>
      <w:pPr>
        <w:pStyle w:val="BodyText"/>
        <w:numPr>
          <w:ilvl w:val="0"/>
          <w:numId w:val="2"/>
        </w:numPr>
        <w:rPr>
          <w:rFonts w:ascii="CG Times" w:hAnsi="CG Times" w:cs="CG Times"/>
          <w:sz w:val="20"/>
        </w:rPr>
      </w:pPr>
      <w:r>
        <w:rPr>
          <w:rFonts w:cs="CG Times" w:ascii="CG Times" w:hAnsi="CG Times"/>
          <w:sz w:val="20"/>
        </w:rPr>
        <w:t>Conversion of the convertible notes (“Notes”) into Series A Preferred Stock as per the Note Purchase Agreement dated June 16, 2000.</w:t>
      </w:r>
    </w:p>
    <w:p>
      <w:pPr>
        <w:pStyle w:val="BodyText"/>
        <w:numPr>
          <w:ilvl w:val="0"/>
          <w:numId w:val="2"/>
        </w:numPr>
        <w:rPr>
          <w:rFonts w:ascii="CG Times" w:hAnsi="CG Times" w:cs="CG Times"/>
          <w:sz w:val="20"/>
        </w:rPr>
      </w:pPr>
      <w:r>
        <w:rPr>
          <w:rFonts w:cs="CG Times" w:ascii="CG Times" w:hAnsi="CG Times"/>
          <w:sz w:val="20"/>
        </w:rPr>
        <w:t>Approval of the 2001 and 2002 forecasts (“Operating Plans”).</w:t>
      </w:r>
    </w:p>
    <w:p>
      <w:pPr>
        <w:pStyle w:val="Normal"/>
        <w:tabs>
          <w:tab w:val="clear" w:pos="720"/>
          <w:tab w:val="left" w:pos="-1440" w:leader="none"/>
          <w:tab w:val="left" w:pos="-720" w:leader="none"/>
          <w:tab w:val="left" w:pos="3234" w:leader="none"/>
        </w:tabs>
        <w:suppressAutoHyphens w:val="true"/>
        <w:spacing w:before="0" w:after="240"/>
        <w:ind w:hanging="2880" w:start="2880" w:end="0"/>
        <w:rPr/>
      </w:pPr>
      <w:r>
        <w:rPr>
          <w:rFonts w:cs="CG Times" w:ascii="CG Times" w:hAnsi="CG Times"/>
          <w:b/>
          <w:sz w:val="20"/>
        </w:rPr>
        <w:t>Finders:</w:t>
      </w:r>
      <w:r>
        <w:rPr>
          <w:rFonts w:cs="CG Times" w:ascii="CG Times" w:hAnsi="CG Times"/>
          <w:sz w:val="20"/>
        </w:rPr>
        <w:tab/>
        <w:t>No fees.</w:t>
      </w:r>
    </w:p>
    <w:p>
      <w:pPr>
        <w:pStyle w:val="Normal"/>
        <w:tabs>
          <w:tab w:val="clear" w:pos="720"/>
          <w:tab w:val="left" w:pos="-1440" w:leader="none"/>
          <w:tab w:val="left" w:pos="-720" w:leader="none"/>
          <w:tab w:val="left" w:pos="3234" w:leader="none"/>
        </w:tabs>
        <w:suppressAutoHyphens w:val="true"/>
        <w:ind w:hanging="2880" w:start="2880" w:end="0"/>
        <w:rPr/>
      </w:pPr>
      <w:r>
        <w:rPr>
          <w:rFonts w:cs="CG Times" w:ascii="CG Times" w:hAnsi="CG Times"/>
          <w:b/>
          <w:sz w:val="20"/>
        </w:rPr>
        <w:t>Investor Counsel:</w:t>
      </w:r>
      <w:r>
        <w:rPr>
          <w:rFonts w:cs="CG Times" w:ascii="CG Times" w:hAnsi="CG Times"/>
          <w:sz w:val="20"/>
        </w:rPr>
        <w:tab/>
        <w:t>Locke Liddell &amp; Sapp LLP.</w:t>
      </w:r>
    </w:p>
    <w:p>
      <w:pPr>
        <w:pStyle w:val="Normal"/>
        <w:tabs>
          <w:tab w:val="clear" w:pos="720"/>
          <w:tab w:val="left" w:pos="-1440" w:leader="none"/>
          <w:tab w:val="left" w:pos="-720" w:leader="none"/>
          <w:tab w:val="left" w:pos="3234" w:leader="none"/>
        </w:tabs>
        <w:suppressAutoHyphens w:val="true"/>
        <w:ind w:hanging="2880" w:start="2880" w:end="0"/>
        <w:rPr>
          <w:rFonts w:ascii="CG Times" w:hAnsi="CG Times" w:cs="CG Times"/>
          <w:sz w:val="20"/>
        </w:rPr>
      </w:pPr>
      <w:r>
        <w:rPr>
          <w:rFonts w:cs="CG Times" w:ascii="CG Times" w:hAnsi="CG Times"/>
          <w:sz w:val="20"/>
        </w:rPr>
      </w:r>
    </w:p>
    <w:p>
      <w:pPr>
        <w:pStyle w:val="Normal"/>
        <w:tabs>
          <w:tab w:val="clear" w:pos="720"/>
          <w:tab w:val="left" w:pos="-1440" w:leader="none"/>
          <w:tab w:val="left" w:pos="-720" w:leader="none"/>
          <w:tab w:val="left" w:pos="3234" w:leader="none"/>
        </w:tabs>
        <w:suppressAutoHyphens w:val="true"/>
        <w:ind w:hanging="2880" w:start="2880" w:end="0"/>
        <w:rPr/>
      </w:pPr>
      <w:r>
        <w:rPr>
          <w:rFonts w:cs="CG Times" w:ascii="CG Times" w:hAnsi="CG Times"/>
          <w:b/>
          <w:sz w:val="20"/>
        </w:rPr>
        <w:t>Company Relocation:</w:t>
      </w:r>
      <w:r>
        <w:rPr>
          <w:rFonts w:cs="CG Times" w:ascii="CG Times" w:hAnsi="CG Times"/>
          <w:sz w:val="20"/>
        </w:rPr>
        <w:tab/>
        <w:t>N/A</w:t>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Auditors:</w:t>
      </w:r>
      <w:r>
        <w:rPr>
          <w:rFonts w:cs="CG Times" w:ascii="CG Times" w:hAnsi="CG Times"/>
          <w:sz w:val="20"/>
        </w:rPr>
        <w:tab/>
        <w:t>The Board of Directors will elect the auditors to be used by the Company.</w:t>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Closing:</w:t>
      </w:r>
      <w:r>
        <w:rPr>
          <w:rFonts w:cs="CG Times" w:ascii="CG Times" w:hAnsi="CG Times"/>
          <w:sz w:val="20"/>
        </w:rPr>
        <w:tab/>
        <w:t>March 15, 2001.</w:t>
      </w:r>
    </w:p>
    <w:p>
      <w:pPr>
        <w:pStyle w:val="BodyTextIndent2"/>
        <w:widowControl/>
        <w:tabs>
          <w:tab w:val="clear" w:pos="7164"/>
          <w:tab w:val="clear" w:pos="7878"/>
          <w:tab w:val="left" w:pos="-1440" w:leader="none"/>
          <w:tab w:val="left" w:pos="-720" w:leader="none"/>
          <w:tab w:val="left" w:pos="2880" w:leader="none"/>
          <w:tab w:val="left" w:pos="3234" w:leader="none"/>
        </w:tabs>
        <w:rPr/>
      </w:pPr>
      <w:r>
        <w:rPr>
          <w:rFonts w:cs="CG Times" w:ascii="CG Times" w:hAnsi="CG Times"/>
          <w:b/>
          <w:sz w:val="20"/>
        </w:rPr>
        <w:t>Exclusivity Period:</w:t>
      </w:r>
      <w:r>
        <w:rPr>
          <w:rFonts w:cs="CG Times" w:ascii="CG Times" w:hAnsi="CG Times"/>
          <w:sz w:val="20"/>
        </w:rPr>
        <w:tab/>
        <w:t>N/A.</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Expiration:</w:t>
      </w:r>
      <w:r>
        <w:rPr>
          <w:rFonts w:cs="CG Times" w:ascii="CG Times" w:hAnsi="CG Times"/>
          <w:sz w:val="20"/>
        </w:rPr>
        <w:tab/>
        <w:t>N/A.</w:t>
      </w:r>
    </w:p>
    <w:p>
      <w:pPr>
        <w:pStyle w:val="Normal"/>
        <w:rPr>
          <w:rFonts w:ascii="CG Times" w:hAnsi="CG Times" w:cs="CG Times"/>
          <w:sz w:val="20"/>
        </w:rPr>
      </w:pPr>
      <w:r>
        <w:rPr>
          <w:rFonts w:cs="CG Times" w:ascii="CG Times" w:hAnsi="CG Times"/>
          <w:sz w:val="20"/>
        </w:rPr>
      </w:r>
    </w:p>
    <w:p>
      <w:pPr>
        <w:pStyle w:val="Normal"/>
        <w:rPr>
          <w:sz w:val="20"/>
        </w:rPr>
      </w:pPr>
      <w:r>
        <w:rPr>
          <w:sz w:val="20"/>
        </w:rPr>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rFonts w:ascii="CG Times" w:hAnsi="CG Times" w:cs="CG Times"/>
          <w:sz w:val="20"/>
        </w:rPr>
      </w:pPr>
      <w:r>
        <w:rPr>
          <w:rFonts w:cs="CG Times" w:ascii="CG Times" w:hAnsi="CG Times"/>
          <w:b/>
          <w:sz w:val="20"/>
          <w:u w:val="single"/>
        </w:rPr>
        <w:t>4.  BINDING MATTERS</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Legal Fees and Expenses:</w:t>
      </w:r>
      <w:r>
        <w:rPr>
          <w:rFonts w:cs="CG Times" w:ascii="CG Times" w:hAnsi="CG Times"/>
          <w:sz w:val="20"/>
        </w:rPr>
        <w:tab/>
        <w:t xml:space="preserve">The Company shall bear its own fees and expenses and, assuming the closing of the Financing, shall pay the legal fees (not to exceed $20,000) and reasonable expenses of the Investors. </w:t>
      </w:r>
    </w:p>
    <w:p>
      <w:p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pPr>
      <w:r>
        <w:rPr>
          <w:rFonts w:cs="CG Times" w:ascii="CG Times" w:hAnsi="CG Times"/>
          <w:b/>
          <w:sz w:val="20"/>
        </w:rPr>
        <w:t>Due Diligence Expenses:</w:t>
      </w:r>
      <w:r>
        <w:rPr>
          <w:rFonts w:cs="CG Times" w:ascii="CG Times" w:hAnsi="CG Times"/>
          <w:sz w:val="20"/>
        </w:rPr>
        <w:tab/>
        <w:t>The Company agrees to reimburse the Investors for the actual out-of-pocket expenses incurred by the Investors after the date of execution of this summary of terms.</w:t>
      </w:r>
    </w:p>
    <w:p>
      <w:pPr>
        <w:pStyle w:val="Normal"/>
        <w:keepNext w:val="true"/>
        <w:keepLines/>
        <w:ind w:hanging="2880" w:start="2880" w:end="0"/>
        <w:rPr>
          <w:rFonts w:ascii="CG Times" w:hAnsi="CG Times" w:cs="CG Times"/>
        </w:rPr>
      </w:pPr>
      <w:r>
        <w:rPr>
          <w:rFonts w:cs="CG Times" w:ascii="CG Times" w:hAnsi="CG Times"/>
          <w:u w:val="single"/>
        </w:rPr>
        <w:t>Acknowledged and agreed:</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b/>
          <w:smallCaps/>
          <w:sz w:val="20"/>
        </w:rPr>
        <w:t>Investors</w:t>
      </w:r>
    </w:p>
    <w:p>
      <w:pPr>
        <w:pStyle w:val="Normal"/>
        <w:keepNext w:val="true"/>
        <w:keepLines/>
        <w:ind w:hanging="2880" w:start="2880" w:end="0"/>
        <w:rPr>
          <w:rFonts w:ascii="CG Times" w:hAnsi="CG Times" w:cs="CG Times"/>
          <w:sz w:val="20"/>
        </w:rPr>
      </w:pPr>
      <w:r>
        <w:rPr>
          <w:rFonts w:cs="CG Times" w:ascii="CG Times" w:hAnsi="CG Times"/>
          <w:sz w:val="20"/>
        </w:rPr>
        <w:t>Jeff Skilling</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Title:_________________________________</w:t>
      </w:r>
    </w:p>
    <w:p>
      <w:pPr>
        <w:pStyle w:val="Normal"/>
        <w:keepNext w:val="true"/>
        <w:keepLines/>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Wincrest Ventures, LP</w:t>
      </w:r>
    </w:p>
    <w:p>
      <w:pPr>
        <w:pStyle w:val="Normal"/>
        <w:keepNext w:val="true"/>
        <w:keepLines/>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  John A. Blaisdell</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  CEO</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r>
    </w:p>
    <w:p>
      <w:pPr>
        <w:pStyle w:val="Normal"/>
        <w:keepNext w:val="true"/>
        <w:keepLines/>
        <w:ind w:hanging="2880" w:start="2880" w:end="0"/>
        <w:rPr>
          <w:rFonts w:ascii="CG Times" w:hAnsi="CG Times" w:cs="CG Times"/>
          <w:b/>
          <w:smallCaps/>
          <w:sz w:val="20"/>
        </w:rPr>
      </w:pPr>
      <w:r>
        <w:rPr>
          <w:rFonts w:cs="CG Times" w:ascii="CG Times" w:hAnsi="CG Times"/>
          <w:b/>
          <w:smallCaps/>
          <w:sz w:val="20"/>
        </w:rPr>
        <w:t>Photofete.com, LLC</w:t>
      </w:r>
    </w:p>
    <w:p>
      <w:pPr>
        <w:pStyle w:val="Normal"/>
        <w:keepNext w:val="true"/>
        <w:keepLines/>
        <w:ind w:hanging="2880" w:start="2880" w:end="0"/>
        <w:rPr>
          <w:rFonts w:ascii="CG Times" w:hAnsi="CG Times" w:cs="CG Times"/>
          <w:b/>
          <w:smallCaps/>
          <w:sz w:val="20"/>
        </w:rPr>
      </w:pPr>
      <w:r>
        <w:rPr>
          <w:rFonts w:cs="CG Times" w:ascii="CG Times" w:hAnsi="CG Times"/>
          <w:b/>
          <w:smallCaps/>
          <w:sz w:val="20"/>
        </w:rPr>
      </w:r>
    </w:p>
    <w:p>
      <w:pPr>
        <w:pStyle w:val="Normal"/>
        <w:keepNext w:val="true"/>
        <w:keepLines/>
        <w:ind w:hanging="2880" w:start="2880" w:end="0"/>
        <w:rPr>
          <w:rFonts w:ascii="CG Times" w:hAnsi="CG Times" w:cs="CG Times"/>
          <w:sz w:val="20"/>
        </w:rPr>
      </w:pPr>
      <w:r>
        <w:rPr>
          <w:rFonts w:cs="CG Times" w:ascii="CG Times" w:hAnsi="CG Times"/>
          <w:sz w:val="20"/>
        </w:rPr>
        <w:t>By:__________________________________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Print Name____________________________</w:t>
      </w:r>
    </w:p>
    <w:p>
      <w:pPr>
        <w:pStyle w:val="Normal"/>
        <w:keepNext w:val="true"/>
        <w:keepLines/>
        <w:spacing w:before="120" w:after="0"/>
        <w:ind w:hanging="2880" w:start="2880" w:end="0"/>
        <w:rPr>
          <w:rFonts w:ascii="CG Times" w:hAnsi="CG Times" w:cs="CG Times"/>
          <w:sz w:val="20"/>
        </w:rPr>
      </w:pPr>
      <w:r>
        <w:rPr>
          <w:rFonts w:cs="CG Times" w:ascii="CG Times" w:hAnsi="CG Times"/>
          <w:sz w:val="20"/>
        </w:rPr>
        <w:t>Title:_________________________________</w:t>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tabs>
          <w:tab w:val="clear" w:pos="720"/>
          <w:tab w:val="left" w:pos="-1440" w:leader="none"/>
          <w:tab w:val="left" w:pos="-720" w:leader="none"/>
          <w:tab w:val="left" w:pos="2880" w:leader="none"/>
          <w:tab w:val="left" w:pos="3234" w:leader="none"/>
        </w:tabs>
        <w:suppressAutoHyphens w:val="true"/>
        <w:spacing w:before="0" w:after="240"/>
        <w:ind w:hanging="2880" w:start="2880" w:end="0"/>
        <w:rPr>
          <w:rFonts w:ascii="CG Times" w:hAnsi="CG Times" w:cs="CG Times"/>
          <w:sz w:val="20"/>
        </w:rPr>
      </w:pPr>
      <w:r>
        <w:rPr>
          <w:rFonts w:cs="CG Times" w:ascii="CG Times" w:hAnsi="CG Times"/>
          <w:sz w:val="20"/>
        </w:rPr>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 xml:space="preserve">Exhibit A </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 xml:space="preserve">Pre-Closing </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Capitalization Table</w:t>
      </w:r>
    </w:p>
    <w:p>
      <w:pPr>
        <w:pStyle w:val="Normal"/>
        <w:tabs>
          <w:tab w:val="clear" w:pos="720"/>
          <w:tab w:val="center" w:pos="4680" w:leader="none"/>
        </w:tabs>
        <w:suppressAutoHyphens w:val="true"/>
        <w:jc w:val="center"/>
        <w:rPr>
          <w:rFonts w:ascii="CG Times" w:hAnsi="CG Times" w:cs="CG Times"/>
          <w:b/>
          <w:smallCaps/>
          <w:sz w:val="20"/>
          <w:lang w:val="en-CA"/>
        </w:rPr>
      </w:pPr>
      <w:r>
        <w:rPr>
          <w:rFonts w:cs="CG Times" w:ascii="CG Times" w:hAnsi="CG Times"/>
          <w:b/>
          <w:smallCaps/>
          <w:sz w:val="20"/>
          <w:lang w:val="en-CA"/>
        </w:rPr>
        <w:object w:dxaOrig="6756" w:dyaOrig="391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93.6pt;margin-top:28.8pt;width:290.15pt;height:183.3pt;mso-wrap-distance-left:9.05pt;mso-wrap-distance-right:9.05pt;mso-position-horizontal-relative:text;mso-position-vertical-relative:text" filled="f" o:ole="">
            <v:imagedata r:id="rId4" o:title=""/>
            <w10:wrap type="topAndBottom"/>
          </v:shape>
          <o:OLEObject Type="Embed" ProgID="" ShapeID="ole_rId3" DrawAspect="Content" ObjectID="_1501444782" r:id="rId3"/>
        </w:objec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r>
      <w:r>
        <w:br w:type="page"/>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Exhibit B</w:t>
      </w:r>
    </w:p>
    <w:p>
      <w:pPr>
        <w:pStyle w:val="Normal"/>
        <w:tabs>
          <w:tab w:val="clear" w:pos="720"/>
          <w:tab w:val="center" w:pos="4680" w:leader="none"/>
        </w:tabs>
        <w:suppressAutoHyphens w:val="true"/>
        <w:jc w:val="center"/>
        <w:rPr>
          <w:rFonts w:ascii="CG Times" w:hAnsi="CG Times" w:cs="CG Times"/>
          <w:b/>
          <w:smallCaps/>
          <w:sz w:val="20"/>
        </w:rPr>
      </w:pPr>
      <w:r>
        <w:rPr>
          <w:rFonts w:cs="CG Times" w:ascii="CG Times" w:hAnsi="CG Times"/>
          <w:b/>
          <w:smallCaps/>
          <w:sz w:val="20"/>
        </w:rPr>
        <w:t>Post-Closing</w:t>
      </w:r>
    </w:p>
    <w:p>
      <w:pPr>
        <w:pStyle w:val="Normal"/>
        <w:tabs>
          <w:tab w:val="clear" w:pos="720"/>
          <w:tab w:val="center" w:pos="4680" w:leader="none"/>
        </w:tabs>
        <w:suppressAutoHyphens w:val="true"/>
        <w:spacing w:before="0" w:after="240"/>
        <w:jc w:val="center"/>
        <w:rPr>
          <w:rFonts w:ascii="CG Times" w:hAnsi="CG Times" w:cs="CG Times"/>
          <w:b/>
          <w:smallCaps/>
          <w:sz w:val="20"/>
        </w:rPr>
      </w:pPr>
      <w:r>
        <w:rPr>
          <w:rFonts w:cs="CG Times" w:ascii="CG Times" w:hAnsi="CG Times"/>
          <w:b/>
          <w:smallCaps/>
          <w:sz w:val="20"/>
        </w:rPr>
        <w:t>Capitalization Table</w:t>
      </w:r>
    </w:p>
    <w:p>
      <w:pPr>
        <w:pStyle w:val="Normal"/>
        <w:tabs>
          <w:tab w:val="clear" w:pos="720"/>
          <w:tab w:val="center" w:pos="4680" w:leader="none"/>
        </w:tabs>
        <w:suppressAutoHyphens w:val="true"/>
        <w:spacing w:before="0" w:after="240"/>
        <w:jc w:val="center"/>
        <w:rPr>
          <w:rFonts w:ascii="CG Times" w:hAnsi="CG Times" w:cs="CG Times"/>
          <w:b/>
          <w:smallCaps/>
          <w:sz w:val="20"/>
        </w:rPr>
      </w:pPr>
      <w:r>
        <w:rPr>
          <w:rFonts w:cs="CG Times" w:ascii="CG Times" w:hAnsi="CG Times"/>
          <w:b/>
          <w:smallCaps/>
          <w:sz w:val="20"/>
        </w:rPr>
        <w:t>(Based Upon  $370,000 Series A)</w:t>
      </w:r>
    </w:p>
    <w:p>
      <w:pPr>
        <w:pStyle w:val="Normal"/>
        <w:rPr>
          <w:rFonts w:ascii="CG Times" w:hAnsi="CG Times" w:cs="CG Times"/>
          <w:b/>
          <w:smallCaps/>
          <w:sz w:val="20"/>
        </w:rPr>
      </w:pPr>
      <w:r>
        <w:rPr>
          <w:rFonts w:cs="CG Times" w:ascii="CG Times" w:hAnsi="CG Times"/>
          <w:b/>
          <w:smallCaps/>
          <w:sz w:val="20"/>
        </w:rPr>
      </w:r>
    </w:p>
    <w:p>
      <w:pPr>
        <w:pStyle w:val="Normal"/>
        <w:spacing w:lineRule="atLeast" w:line="240"/>
        <w:rPr>
          <w:rFonts w:ascii="CG Times" w:hAnsi="CG Times" w:cs="CG Times"/>
          <w:sz w:val="20"/>
          <w:lang w:val="en-CA"/>
        </w:rPr>
      </w:pPr>
      <w:r>
        <w:rPr>
          <w:rFonts w:cs="CG Times" w:ascii="CG Times" w:hAnsi="CG Times"/>
          <w:sz w:val="20"/>
          <w:lang w:val="en-CA"/>
        </w:rPr>
        <w:object w:dxaOrig="6756" w:dyaOrig="4548">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72pt;margin-top:9.6pt;width:290.15pt;height:213.3pt;mso-wrap-distance-left:9.05pt;mso-wrap-distance-right:9.05pt;mso-position-horizontal-relative:text;mso-position-vertical-relative:text" filled="f" o:ole="">
            <v:imagedata r:id="rId6" o:title=""/>
            <w10:wrap type="topAndBottom"/>
          </v:shape>
          <o:OLEObject Type="Embed" ProgID="" ShapeID="ole_rId5" DrawAspect="Content" ObjectID="_165116263" r:id="rId5"/>
        </w:object>
      </w:r>
    </w:p>
    <w:p>
      <w:pPr>
        <w:pStyle w:val="Normal"/>
        <w:spacing w:lineRule="atLeast" w:line="240"/>
        <w:rPr>
          <w:rFonts w:ascii="CG Times" w:hAnsi="CG Times" w:cs="CG Times"/>
          <w:sz w:val="20"/>
        </w:rPr>
      </w:pPr>
      <w:r>
        <w:rPr>
          <w:rFonts w:cs="CG Times" w:ascii="CG Times" w:hAnsi="CG Times"/>
          <w:sz w:val="20"/>
        </w:rPr>
        <w:tab/>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end"/>
      <w:rPr/>
    </w:pPr>
    <w:r>
      <w:rPr/>
      <w:t xml:space="preserve"> </w:t>
    </w:r>
    <w:r>
      <w:rPr>
        <w:rFonts w:cs="CG Times" w:ascii="CG Times" w:hAnsi="CG Times"/>
      </w:rPr>
      <w:t xml:space="preserve">Page </w:t>
    </w:r>
    <w:r>
      <w:rPr>
        <w:rStyle w:val="PageNumber"/>
        <w:rFonts w:cs="CG Times" w:ascii="CG Times" w:hAnsi="CG Times"/>
        <w:sz w:val="20"/>
      </w:rPr>
      <w:fldChar w:fldCharType="begin"/>
    </w:r>
    <w:r>
      <w:rPr>
        <w:rStyle w:val="PageNumber"/>
        <w:sz w:val="20"/>
        <w:rFonts w:cs="CG Times" w:ascii="CG Times" w:hAnsi="CG Times"/>
      </w:rPr>
      <w:instrText xml:space="preserve"> PAGE </w:instrText>
    </w:r>
    <w:r>
      <w:rPr>
        <w:rStyle w:val="PageNumber"/>
        <w:sz w:val="20"/>
        <w:rFonts w:cs="CG Times" w:ascii="CG Times" w:hAnsi="CG Times"/>
      </w:rPr>
      <w:fldChar w:fldCharType="separate"/>
    </w:r>
    <w:r>
      <w:rPr>
        <w:rStyle w:val="PageNumber"/>
        <w:sz w:val="20"/>
        <w:rFonts w:cs="CG Times" w:ascii="CG Times" w:hAnsi="CG Times"/>
      </w:rPr>
      <w:t>7</w:t>
    </w:r>
    <w:r>
      <w:rPr>
        <w:rStyle w:val="PageNumber"/>
        <w:sz w:val="20"/>
        <w:rFonts w:cs="CG Times" w:ascii="CG Times" w:hAnsi="CG Times"/>
      </w:rPr>
      <w:fldChar w:fldCharType="end"/>
    </w:r>
    <w:r>
      <w:rPr>
        <w:rStyle w:val="PageNumber"/>
        <w:rFonts w:cs="CG Times" w:ascii="CG Times" w:hAnsi="CG Times"/>
        <w:sz w:val="20"/>
      </w:rPr>
      <w:t xml:space="preserve"> of </w:t>
    </w:r>
    <w:r>
      <w:rPr>
        <w:rStyle w:val="PageNumber"/>
        <w:rFonts w:cs="CG Times" w:ascii="CG Times" w:hAnsi="CG Times"/>
        <w:sz w:val="20"/>
      </w:rPr>
      <w:fldChar w:fldCharType="begin"/>
    </w:r>
    <w:r>
      <w:rPr>
        <w:rStyle w:val="PageNumber"/>
        <w:sz w:val="20"/>
        <w:rFonts w:cs="CG Times" w:ascii="CG Times" w:hAnsi="CG Times"/>
      </w:rPr>
      <w:instrText xml:space="preserve"> NUMPAGES \* ARABIC </w:instrText>
    </w:r>
    <w:r>
      <w:rPr>
        <w:rStyle w:val="PageNumber"/>
        <w:sz w:val="20"/>
        <w:rFonts w:cs="CG Times" w:ascii="CG Times" w:hAnsi="CG Times"/>
      </w:rPr>
      <w:fldChar w:fldCharType="separate"/>
    </w:r>
    <w:r>
      <w:rPr>
        <w:rStyle w:val="PageNumber"/>
        <w:sz w:val="20"/>
        <w:rFonts w:cs="CG Times" w:ascii="CG Times" w:hAnsi="CG Times"/>
      </w:rPr>
      <w:t>9</w:t>
    </w:r>
    <w:r>
      <w:rPr>
        <w:rStyle w:val="PageNumber"/>
        <w:sz w:val="20"/>
        <w:rFonts w:cs="CG Times" w:ascii="CG Times" w:hAnsi="CG Times"/>
      </w:rPr>
      <w:fldChar w:fldCharType="end"/>
    </w:r>
    <w:r>
      <w:rPr>
        <w:rStyle w:val="PageNumber"/>
        <w:rFonts w:cs="CG Times" w:ascii="CG Times" w:hAnsi="CG Times"/>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jc w:val="start"/>
      <w:rPr/>
    </w:pPr>
    <w:r>
      <w:rPr/>
    </w:r>
  </w:p>
  <w:p>
    <w:pPr>
      <w:pStyle w:val="Footer"/>
      <w:tabs>
        <w:tab w:val="clear" w:pos="4320"/>
        <w:tab w:val="center" w:pos="4680" w:leader="none"/>
        <w:tab w:val="right" w:pos="9360" w:leader="none"/>
      </w:tabs>
      <w:spacing w:lineRule="exact" w:line="200"/>
      <w:jc w:val="start"/>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9360" w:leader="none"/>
      </w:tabs>
      <w:spacing w:lineRule="exact" w:line="200"/>
      <w:jc w:val="start"/>
      <w:rPr/>
    </w:pPr>
    <w:r>
      <w:rPr/>
    </w:r>
  </w:p>
  <w:p>
    <w:pPr>
      <w:pStyle w:val="Footer"/>
      <w:tabs>
        <w:tab w:val="clear" w:pos="4320"/>
        <w:tab w:val="center" w:pos="4680" w:leader="none"/>
        <w:tab w:val="right" w:pos="9360" w:leader="none"/>
      </w:tabs>
      <w:spacing w:lineRule="exact" w:line="200"/>
      <w:jc w:val="start"/>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4"/>
      <w:numFmt w:val="decimal"/>
      <w:lvlText w:val="%1."/>
      <w:lvlJc w:val="start"/>
      <w:pPr>
        <w:tabs>
          <w:tab w:val="num" w:pos="3600"/>
        </w:tabs>
        <w:ind w:start="360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_MacPacVersion" w:val="97"/>
    <w:docVar w:name="zzmpFixedDOC_ID" w:val="A:\Term Shee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DraftStampText">
    <w:name w:val="DraftStampText"/>
    <w:basedOn w:val="DefaultParagraphFont"/>
    <w:qFormat/>
    <w:rPr>
      <w:rFonts w:ascii="Times New Roman" w:hAnsi="Times New Roman" w:cs="Times New Roman"/>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0" w:after="240"/>
      <w:jc w:val="start"/>
    </w:pPr>
    <w:rPr>
      <w:smallCaps/>
    </w:rPr>
  </w:style>
  <w:style w:type="paragraph" w:styleId="Heading1Para">
    <w:name w:val="Heading1Para"/>
    <w:basedOn w:val="BodyText"/>
    <w:next w:val="BodyText"/>
    <w:qFormat/>
    <w:pPr>
      <w:ind w:hanging="0" w:start="0" w:end="0"/>
      <w:jc w:val="center"/>
    </w:pPr>
    <w:rPr/>
  </w:style>
  <w:style w:type="paragraph" w:styleId="Heading2Para">
    <w:name w:val="Heading2Para"/>
    <w:basedOn w:val="BodyText"/>
    <w:next w:val="BodyText"/>
    <w:qFormat/>
    <w:pPr>
      <w:ind w:hanging="0" w:start="0" w:end="0"/>
    </w:pPr>
    <w:rPr/>
  </w:style>
  <w:style w:type="paragraph" w:styleId="Heading3Para">
    <w:name w:val="Heading3Para"/>
    <w:basedOn w:val="BodyText"/>
    <w:next w:val="BodyText"/>
    <w:qFormat/>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SDP">
    <w:name w:val="SDP"/>
    <w:basedOn w:val="Normal"/>
    <w:next w:val="Normal"/>
    <w:qFormat/>
    <w:pPr>
      <w:spacing w:before="360" w:after="240"/>
    </w:pPr>
    <w:rPr>
      <w:smallCaps/>
    </w:rPr>
  </w:style>
  <w:style w:type="paragraph" w:styleId="Quote">
    <w:name w:val="Quote"/>
    <w:basedOn w:val="Normal"/>
    <w:next w:val="BodyTextContinued"/>
    <w:qFormat/>
    <w:pPr>
      <w:widowControl w:val="false"/>
      <w:spacing w:before="0" w:after="240"/>
      <w:ind w:hanging="0" w:start="1440" w:end="1440"/>
    </w:pPr>
    <w:rPr/>
  </w:style>
  <w:style w:type="paragraph" w:styleId="DraftStampFrame">
    <w:name w:val="DraftStampFrame"/>
    <w:basedOn w:val="Normal"/>
    <w:qFormat/>
    <w:pPr>
      <w:jc w:val="end"/>
    </w:pPr>
    <w:rPr>
      <w:b/>
      <w:color w:val="FF0000"/>
      <w:sz w:val="20"/>
    </w:rPr>
  </w:style>
  <w:style w:type="paragraph" w:styleId="CGLogo">
    <w:name w:val="CGLogo"/>
    <w:basedOn w:val="Normal"/>
    <w:qFormat/>
    <w:pPr/>
    <w:rPr/>
  </w:style>
  <w:style w:type="paragraph" w:styleId="LetterDate">
    <w:name w:val="LetterDate"/>
    <w:basedOn w:val="Normal"/>
    <w:next w:val="BodyText"/>
    <w:qFormat/>
    <w:pPr>
      <w:spacing w:before="0" w:after="240"/>
    </w:pPr>
    <w:rPr/>
  </w:style>
  <w:style w:type="paragraph" w:styleId="BodyTextIndent2">
    <w:name w:val="Body Text Indent 2"/>
    <w:basedOn w:val="Normal"/>
    <w:qFormat/>
    <w:pPr>
      <w:widowControl w:val="false"/>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pPr>
    <w:rPr/>
  </w:style>
  <w:style w:type="paragraph" w:styleId="BodyTextIndent3">
    <w:name w:val="Body Text Indent 3"/>
    <w:basedOn w:val="Normal"/>
    <w:qFormat/>
    <w:pPr>
      <w:tabs>
        <w:tab w:val="clear" w:pos="720"/>
        <w:tab w:val="left" w:pos="-1440" w:leader="none"/>
        <w:tab w:val="left" w:pos="-720" w:leader="none"/>
        <w:tab w:val="left" w:pos="2880" w:leader="none"/>
        <w:tab w:val="left" w:pos="7164" w:leader="none"/>
        <w:tab w:val="left" w:pos="7878" w:leader="none"/>
      </w:tabs>
      <w:suppressAutoHyphens w:val="true"/>
      <w:spacing w:before="0" w:after="240"/>
      <w:ind w:hanging="2880" w:start="2880" w:end="0"/>
    </w:pPr>
    <w:rPr>
      <w:rFonts w:ascii="CG Times" w:hAnsi="CG Times" w:cs="CG Time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oleObject" Target="embeddings/oleObject1.bin"/><Relationship Id="rId4" Type="http://schemas.openxmlformats.org/officeDocument/2006/relationships/image" Target="media/image1.wmf"/><Relationship Id="rId5" Type="http://schemas.openxmlformats.org/officeDocument/2006/relationships/oleObject" Target="embeddings/oleObject2.bin"/><Relationship Id="rId6" Type="http://schemas.openxmlformats.org/officeDocument/2006/relationships/image" Target="media/image2.w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2001-02-20T23:21:00Z</dcterms:created>
  <dc:creator>Cooley Godward</dc:creator>
  <dc:description/>
  <dc:language>en-CA</dc:language>
  <cp:lastModifiedBy>jab</cp:lastModifiedBy>
  <cp:lastPrinted>2001-02-23T10:18:00Z</cp:lastPrinted>
  <dcterms:modified xsi:type="dcterms:W3CDTF">2001-02-23T13:50:00Z</dcterms:modified>
  <cp:revision>18</cp:revision>
  <dc:subject/>
  <dc:title>Word 8.0 Generic Normal Template, rev. 4/1/97, The Legal MacPac</dc:title>
</cp:coreProperties>
</file>