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ing1"/>
        <w:ind w:hanging="0" w:start="0"/>
        <w:rPr/>
      </w:pPr>
      <w:r>
        <w:rPr/>
      </w:r>
    </w:p>
    <w:p>
      <w:pPr>
        <w:pStyle w:val="Heading1"/>
        <w:ind w:hanging="0" w:start="0"/>
        <w:rPr>
          <w:sz w:val="22"/>
        </w:rPr>
      </w:pPr>
      <w:r>
        <w:rPr>
          <w:sz w:val="22"/>
        </w:rPr>
      </w:r>
    </w:p>
    <w:p>
      <w:pPr>
        <w:pStyle w:val="Heading1"/>
        <w:ind w:hanging="0" w:start="0"/>
        <w:rPr>
          <w:sz w:val="22"/>
        </w:rPr>
      </w:pPr>
      <w:r>
        <w:rPr>
          <w:sz w:val="22"/>
        </w:rPr>
        <w:t>November 29, 1999</w:t>
      </w:r>
    </w:p>
    <w:p>
      <w:pPr>
        <w:pStyle w:val="Normal"/>
        <w:rPr>
          <w:sz w:val="22"/>
        </w:rPr>
      </w:pPr>
      <w:r>
        <w:rPr>
          <w:sz w:val="22"/>
        </w:rPr>
      </w:r>
    </w:p>
    <w:p>
      <w:pPr>
        <w:pStyle w:val="Normal"/>
        <w:rPr>
          <w:sz w:val="22"/>
        </w:rPr>
      </w:pPr>
      <w:r>
        <w:rPr>
          <w:sz w:val="22"/>
        </w:rPr>
      </w:r>
    </w:p>
    <w:p>
      <w:pPr>
        <w:pStyle w:val="Normal"/>
        <w:rPr>
          <w:sz w:val="22"/>
        </w:rPr>
      </w:pPr>
      <w:r>
        <w:rPr>
          <w:sz w:val="22"/>
        </w:rPr>
        <w:t>Mr. Gary L. Neale</w:t>
        <w:tab/>
        <w:tab/>
        <w:tab/>
        <w:tab/>
        <w:tab/>
        <w:t>Mr. Howard L. Hawks</w:t>
      </w:r>
    </w:p>
    <w:p>
      <w:pPr>
        <w:pStyle w:val="Normal"/>
        <w:rPr>
          <w:sz w:val="22"/>
        </w:rPr>
      </w:pPr>
      <w:r>
        <w:rPr>
          <w:sz w:val="22"/>
        </w:rPr>
        <w:t>Chairman, NERC Board of Trustees</w:t>
        <w:tab/>
        <w:tab/>
        <w:tab/>
        <w:t xml:space="preserve">Chairman, Policy Interpretation T. F.                                                                                                  </w:t>
      </w:r>
    </w:p>
    <w:p>
      <w:pPr>
        <w:pStyle w:val="Normal"/>
        <w:rPr>
          <w:sz w:val="22"/>
        </w:rPr>
      </w:pPr>
      <w:r>
        <w:rPr>
          <w:sz w:val="22"/>
        </w:rPr>
        <w:t>NiSource</w:t>
        <w:tab/>
        <w:tab/>
        <w:tab/>
        <w:tab/>
        <w:tab/>
        <w:tab/>
        <w:t>Tenaska, Inc.</w:t>
      </w:r>
    </w:p>
    <w:p>
      <w:pPr>
        <w:pStyle w:val="Normal"/>
        <w:rPr/>
      </w:pPr>
      <w:r>
        <w:rPr>
          <w:sz w:val="22"/>
        </w:rPr>
        <w:t>801 East 86</w:t>
      </w:r>
      <w:r>
        <w:rPr>
          <w:sz w:val="22"/>
          <w:vertAlign w:val="superscript"/>
        </w:rPr>
        <w:t>th</w:t>
      </w:r>
      <w:r>
        <w:rPr>
          <w:sz w:val="22"/>
        </w:rPr>
        <w:t xml:space="preserve"> Avenue</w:t>
        <w:tab/>
        <w:tab/>
        <w:tab/>
        <w:tab/>
        <w:tab/>
        <w:t>1044 North 115</w:t>
      </w:r>
      <w:r>
        <w:rPr>
          <w:sz w:val="22"/>
          <w:vertAlign w:val="superscript"/>
        </w:rPr>
        <w:t>th</w:t>
      </w:r>
      <w:r>
        <w:rPr>
          <w:sz w:val="22"/>
        </w:rPr>
        <w:t xml:space="preserve"> Street</w:t>
      </w:r>
    </w:p>
    <w:p>
      <w:pPr>
        <w:pStyle w:val="Normal"/>
        <w:rPr>
          <w:sz w:val="22"/>
        </w:rPr>
      </w:pPr>
      <w:r>
        <w:rPr>
          <w:sz w:val="22"/>
        </w:rPr>
        <w:t>Merrillville, Indiana  46410</w:t>
        <w:tab/>
        <w:tab/>
        <w:tab/>
        <w:tab/>
        <w:t>Suite 400</w:t>
      </w:r>
    </w:p>
    <w:p>
      <w:pPr>
        <w:pStyle w:val="Normal"/>
        <w:rPr>
          <w:sz w:val="22"/>
        </w:rPr>
      </w:pPr>
      <w:r>
        <w:rPr>
          <w:sz w:val="22"/>
        </w:rPr>
        <w:tab/>
        <w:tab/>
        <w:tab/>
        <w:tab/>
        <w:tab/>
        <w:tab/>
        <w:tab/>
        <w:t>Omaha, Nebraska  68154-4446</w:t>
      </w:r>
    </w:p>
    <w:p>
      <w:pPr>
        <w:pStyle w:val="Normal"/>
        <w:rPr>
          <w:sz w:val="22"/>
        </w:rPr>
      </w:pPr>
      <w:r>
        <w:rPr>
          <w:sz w:val="22"/>
        </w:rPr>
      </w:r>
    </w:p>
    <w:p>
      <w:pPr>
        <w:pStyle w:val="Normal"/>
        <w:rPr>
          <w:sz w:val="22"/>
        </w:rPr>
      </w:pPr>
      <w:r>
        <w:rPr>
          <w:sz w:val="22"/>
        </w:rPr>
        <w:t>Gentlemen:</w:t>
      </w:r>
    </w:p>
    <w:p>
      <w:pPr>
        <w:pStyle w:val="Normal"/>
        <w:rPr>
          <w:sz w:val="22"/>
        </w:rPr>
      </w:pPr>
      <w:r>
        <w:rPr>
          <w:sz w:val="22"/>
        </w:rPr>
      </w:r>
    </w:p>
    <w:p>
      <w:pPr>
        <w:pStyle w:val="Normal"/>
        <w:rPr/>
      </w:pPr>
      <w:r>
        <w:rPr>
          <w:sz w:val="22"/>
        </w:rPr>
        <w:t>This letter provides the SERC response to the October 26, 1999, letter from Howard Hawks regarding the underlying issues of the</w:t>
      </w:r>
      <w:r>
        <w:rPr>
          <w:b/>
          <w:sz w:val="22"/>
        </w:rPr>
        <w:t xml:space="preserve"> </w:t>
      </w:r>
      <w:r>
        <w:rPr>
          <w:sz w:val="22"/>
        </w:rPr>
        <w:t>dispute between Enron and TVA.  SERC is concerned that the application of these findings will have reliability impacts which SERC feels run counter to NERC’s mission and will effectively change existing policy, causing confusion among operators and merchants.  We request the Policy Interpretation Task Force review its findings considering the information contained in this letter.  We feel such a review and subsequent findings will add necessary clarity and direction which can be used until such time as the Security Committee completes its work on the matter of Control Area definitions, accountabilities, and responsibilities.</w:t>
      </w:r>
    </w:p>
    <w:p>
      <w:pPr>
        <w:pStyle w:val="Normal"/>
        <w:rPr>
          <w:sz w:val="22"/>
        </w:rPr>
      </w:pPr>
      <w:r>
        <w:rPr>
          <w:sz w:val="22"/>
        </w:rPr>
      </w:r>
    </w:p>
    <w:p>
      <w:pPr>
        <w:pStyle w:val="Normal"/>
        <w:rPr>
          <w:sz w:val="22"/>
        </w:rPr>
      </w:pPr>
      <w:r>
        <w:rPr>
          <w:sz w:val="22"/>
        </w:rPr>
        <w:t>We have selected three major areas of concern for comment:</w:t>
      </w:r>
    </w:p>
    <w:p>
      <w:pPr>
        <w:pStyle w:val="Header"/>
        <w:tabs>
          <w:tab w:val="clear" w:pos="4320"/>
          <w:tab w:val="clear" w:pos="8640"/>
        </w:tabs>
        <w:rPr>
          <w:sz w:val="22"/>
        </w:rPr>
      </w:pPr>
      <w:r>
        <w:rPr>
          <w:sz w:val="22"/>
        </w:rPr>
      </w:r>
    </w:p>
    <w:p>
      <w:pPr>
        <w:pStyle w:val="Normal"/>
        <w:rPr>
          <w:sz w:val="22"/>
        </w:rPr>
      </w:pPr>
      <w:r>
        <w:rPr>
          <w:sz w:val="22"/>
        </w:rPr>
        <w:t xml:space="preserve">I.  </w:t>
        <w:tab/>
        <w:t>TTC/ATC Calculation and Transaction Netting</w:t>
      </w:r>
    </w:p>
    <w:p>
      <w:pPr>
        <w:pStyle w:val="Normal"/>
        <w:rPr>
          <w:sz w:val="22"/>
        </w:rPr>
      </w:pPr>
      <w:r>
        <w:rPr>
          <w:sz w:val="22"/>
        </w:rPr>
      </w:r>
    </w:p>
    <w:p>
      <w:pPr>
        <w:pStyle w:val="Normal"/>
        <w:numPr>
          <w:ilvl w:val="0"/>
          <w:numId w:val="2"/>
        </w:numPr>
        <w:tabs>
          <w:tab w:val="clear" w:pos="720"/>
          <w:tab w:val="left" w:pos="1080" w:leader="none"/>
        </w:tabs>
        <w:ind w:hanging="360" w:start="1080" w:end="0"/>
        <w:rPr>
          <w:sz w:val="22"/>
        </w:rPr>
      </w:pPr>
      <w:r>
        <w:rPr>
          <w:sz w:val="22"/>
        </w:rPr>
        <w:t>TTC/ATC Calculation:</w:t>
      </w:r>
    </w:p>
    <w:p>
      <w:pPr>
        <w:pStyle w:val="Normal"/>
        <w:ind w:start="1080" w:end="0"/>
        <w:rPr>
          <w:i/>
          <w:i/>
          <w:sz w:val="22"/>
        </w:rPr>
      </w:pPr>
      <w:r>
        <w:rPr>
          <w:i/>
          <w:sz w:val="22"/>
        </w:rPr>
        <w:t>Issue No. 1 finding:</w:t>
      </w:r>
    </w:p>
    <w:p>
      <w:pPr>
        <w:pStyle w:val="Normal"/>
        <w:ind w:start="1080" w:end="0"/>
        <w:rPr>
          <w:i/>
          <w:i/>
          <w:sz w:val="22"/>
        </w:rPr>
      </w:pPr>
      <w:r>
        <w:rPr>
          <w:i/>
          <w:sz w:val="22"/>
        </w:rPr>
        <w:t>The Task Force concludes that, on the facts of the case, ATC should not be limited by the thermal transfer capability of the interconnection between Enron and TVA.</w:t>
      </w:r>
    </w:p>
    <w:p>
      <w:pPr>
        <w:pStyle w:val="Normal"/>
        <w:rPr>
          <w:i/>
          <w:i/>
          <w:sz w:val="22"/>
        </w:rPr>
      </w:pPr>
      <w:r>
        <w:rPr>
          <w:i/>
          <w:sz w:val="22"/>
        </w:rPr>
      </w:r>
    </w:p>
    <w:p>
      <w:pPr>
        <w:pStyle w:val="Normal"/>
        <w:ind w:start="1080" w:end="0"/>
        <w:rPr/>
      </w:pPr>
      <w:r>
        <w:rPr>
          <w:sz w:val="22"/>
        </w:rPr>
        <w:t>The Task Force has ignored the ATC limitations that exist between the Enron control area and TVA’s control area.  The only justification for this approach is through the use of the new term “parking”, which does not exist in current NERC (or SERC) policy.</w:t>
      </w:r>
      <w:r>
        <w:rPr>
          <w:b/>
          <w:sz w:val="22"/>
        </w:rPr>
        <w:t xml:space="preserve">  </w:t>
      </w:r>
      <w:r>
        <w:rPr>
          <w:sz w:val="22"/>
        </w:rPr>
        <w:t>The Task Force also does not consider that the TVA and Enron control areas are quite different in their operational abilities to actually implement import or export transactions.</w:t>
      </w:r>
    </w:p>
    <w:p>
      <w:pPr>
        <w:pStyle w:val="Normal"/>
        <w:ind w:start="1080" w:end="0"/>
        <w:rPr>
          <w:sz w:val="22"/>
        </w:rPr>
      </w:pPr>
      <w:r>
        <w:rPr>
          <w:sz w:val="22"/>
        </w:rPr>
      </w:r>
    </w:p>
    <w:p>
      <w:pPr>
        <w:pStyle w:val="Normal"/>
        <w:ind w:start="1080" w:end="0"/>
        <w:rPr>
          <w:sz w:val="22"/>
        </w:rPr>
      </w:pPr>
      <w:r>
        <w:rPr>
          <w:sz w:val="22"/>
        </w:rPr>
        <w:t xml:space="preserve">The specific policy sections that relate to this issue are The ATC Principles and NERC Policy 3, Section D, Requirements 1 &amp; 2, as referenced in your letter.  ATC is based upon the actual response of the electrical network to energy transactions, but it is not purely based upon the physical nature of the electric system.  Rather, ATC is a </w:t>
      </w:r>
    </w:p>
    <w:p>
      <w:pPr>
        <w:pStyle w:val="Normal"/>
        <w:ind w:start="1080" w:end="0"/>
        <w:rPr>
          <w:sz w:val="22"/>
        </w:rPr>
      </w:pPr>
      <w:r>
        <w:rPr>
          <w:sz w:val="22"/>
        </w:rPr>
        <w:t>combination of contract path limitations and a representation of the physics of the electric system.  This is driven by the way that transmission service is currently reserved (contract path basis).</w:t>
      </w:r>
      <w:r>
        <w:br w:type="page"/>
      </w:r>
    </w:p>
    <w:p>
      <w:pPr>
        <w:pStyle w:val="Normal"/>
        <w:rPr>
          <w:sz w:val="22"/>
        </w:rPr>
      </w:pPr>
      <w:r>
        <w:rPr>
          <w:sz w:val="22"/>
        </w:rPr>
      </w:r>
    </w:p>
    <w:p>
      <w:pPr>
        <w:pStyle w:val="Normal"/>
        <w:rPr>
          <w:sz w:val="22"/>
        </w:rPr>
      </w:pPr>
      <w:r>
        <w:rPr>
          <w:sz w:val="22"/>
        </w:rPr>
        <w:t xml:space="preserve">Page 2 </w:t>
      </w:r>
    </w:p>
    <w:p>
      <w:pPr>
        <w:pStyle w:val="Normal"/>
        <w:rPr>
          <w:sz w:val="22"/>
        </w:rPr>
      </w:pPr>
      <w:r>
        <w:rPr>
          <w:sz w:val="22"/>
        </w:rPr>
        <w:t>November 29, 1999</w:t>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t>In determining TTC in this case, it is not possible to model a transaction that sources in the Enron Control Area (ECA) and sinks in the TVA Control Area (TCA) in excess of the amount of generation located in ECA unless assumptions are made that cause the model to no longer represent the actual physical system conditions.  Therefore, TTC from ECA to TCA would be capped at the lesser of generation located in ECA, the rating of the single circuit tie between ECA and TCA, or any limiting facility in the surrounding network that limits the transfer.</w:t>
      </w:r>
    </w:p>
    <w:p>
      <w:pPr>
        <w:pStyle w:val="Normal"/>
        <w:rPr>
          <w:sz w:val="22"/>
        </w:rPr>
      </w:pPr>
      <w:r>
        <w:rPr>
          <w:sz w:val="22"/>
        </w:rPr>
      </w:r>
    </w:p>
    <w:p>
      <w:pPr>
        <w:pStyle w:val="Normal"/>
        <w:ind w:start="1080" w:end="0"/>
        <w:rPr>
          <w:sz w:val="22"/>
        </w:rPr>
      </w:pPr>
      <w:r>
        <w:rPr>
          <w:sz w:val="22"/>
        </w:rPr>
        <w:t>Similarly it is not possible to model a transaction that sources external to ECA and sinks into ECA if there is no load there, without making modeling assumptions that will not represent the true physical system.  Therefore, the TTC from TCA to ECA would be zero.</w:t>
      </w:r>
    </w:p>
    <w:p>
      <w:pPr>
        <w:pStyle w:val="Normal"/>
        <w:ind w:start="1080" w:end="0"/>
        <w:rPr>
          <w:sz w:val="22"/>
        </w:rPr>
      </w:pPr>
      <w:r>
        <w:rPr>
          <w:sz w:val="22"/>
        </w:rPr>
      </w:r>
    </w:p>
    <w:p>
      <w:pPr>
        <w:pStyle w:val="Normal"/>
        <w:ind w:start="1080" w:end="0"/>
        <w:rPr/>
      </w:pPr>
      <w:r>
        <w:rPr>
          <w:sz w:val="22"/>
        </w:rPr>
        <w:t>Rather than follow these fundamental principles, the Task Force’s interpretation ignores the actual TTC and ATC between ECA and TCA.  In so doing, the Task Force response violates ATC principles and Policy 3 Section D.  TTC and ATC do exist in this case and the principles apply here.  Transmission</w:t>
      </w:r>
      <w:r>
        <w:rPr>
          <w:b/>
          <w:sz w:val="22"/>
        </w:rPr>
        <w:t xml:space="preserve"> </w:t>
      </w:r>
      <w:r>
        <w:rPr>
          <w:sz w:val="22"/>
        </w:rPr>
        <w:t>providers cannot ignore contract path and ATC Principles.  The industry needs</w:t>
      </w:r>
      <w:r>
        <w:rPr>
          <w:b/>
          <w:sz w:val="22"/>
        </w:rPr>
        <w:t xml:space="preserve"> </w:t>
      </w:r>
      <w:r>
        <w:rPr>
          <w:sz w:val="22"/>
        </w:rPr>
        <w:t>a consistent TTC/ATC approach across NERC that will encourage coordination among providers, and the Task Force’s interpretation is contrary to this need.</w:t>
      </w:r>
    </w:p>
    <w:p>
      <w:pPr>
        <w:pStyle w:val="Header"/>
        <w:tabs>
          <w:tab w:val="clear" w:pos="4320"/>
          <w:tab w:val="clear" w:pos="8640"/>
        </w:tabs>
        <w:rPr>
          <w:sz w:val="22"/>
        </w:rPr>
      </w:pPr>
      <w:r>
        <w:rPr>
          <w:sz w:val="22"/>
        </w:rPr>
      </w:r>
    </w:p>
    <w:p>
      <w:pPr>
        <w:pStyle w:val="Normal"/>
        <w:numPr>
          <w:ilvl w:val="0"/>
          <w:numId w:val="2"/>
        </w:numPr>
        <w:tabs>
          <w:tab w:val="clear" w:pos="720"/>
          <w:tab w:val="left" w:pos="1080" w:leader="none"/>
        </w:tabs>
        <w:ind w:hanging="360" w:start="1080" w:end="0"/>
        <w:rPr>
          <w:sz w:val="22"/>
        </w:rPr>
      </w:pPr>
      <w:r>
        <w:rPr>
          <w:sz w:val="22"/>
        </w:rPr>
        <w:t>Transaction Netting</w:t>
      </w:r>
    </w:p>
    <w:p>
      <w:pPr>
        <w:pStyle w:val="BodyText"/>
        <w:ind w:start="1080" w:end="0"/>
        <w:rPr>
          <w:sz w:val="22"/>
        </w:rPr>
      </w:pPr>
      <w:r>
        <w:rPr>
          <w:sz w:val="22"/>
        </w:rPr>
        <w:t>Task Force Finding: Transmission providers must consider the likelihood that countervailing transmission service reservations will actually be used for interchange transactions that will produce flows in the opposite direction.</w:t>
      </w:r>
    </w:p>
    <w:p>
      <w:pPr>
        <w:pStyle w:val="Normal"/>
        <w:rPr>
          <w:sz w:val="22"/>
        </w:rPr>
      </w:pPr>
      <w:r>
        <w:rPr>
          <w:sz w:val="22"/>
        </w:rPr>
      </w:r>
    </w:p>
    <w:p>
      <w:pPr>
        <w:pStyle w:val="Normal"/>
        <w:ind w:start="1080" w:end="0"/>
        <w:rPr/>
      </w:pPr>
      <w:r>
        <w:rPr>
          <w:sz w:val="22"/>
        </w:rPr>
        <w:t>This interpretation ignores a fundamental aspect of ATC determinations.</w:t>
      </w:r>
      <w:r>
        <w:rPr>
          <w:b/>
          <w:sz w:val="22"/>
        </w:rPr>
        <w:t xml:space="preserve">  </w:t>
      </w:r>
      <w:r>
        <w:rPr>
          <w:sz w:val="22"/>
        </w:rPr>
        <w:t xml:space="preserve">Providers should not </w:t>
      </w:r>
      <w:r>
        <w:rPr>
          <w:sz w:val="22"/>
          <w:u w:val="single"/>
        </w:rPr>
        <w:t>assume</w:t>
      </w:r>
      <w:r>
        <w:rPr>
          <w:sz w:val="22"/>
        </w:rPr>
        <w:t xml:space="preserve"> a day ahead that countervailing transactions will materialize allowing netting of transactions and an increase in ATC.  If the assumed transactions do not materialize, transmission service will have been sold that is not actually available.</w:t>
      </w:r>
    </w:p>
    <w:p>
      <w:pPr>
        <w:pStyle w:val="Normal"/>
        <w:ind w:start="1080" w:end="0"/>
        <w:rPr>
          <w:sz w:val="22"/>
        </w:rPr>
      </w:pPr>
      <w:r>
        <w:rPr>
          <w:sz w:val="22"/>
        </w:rPr>
      </w:r>
    </w:p>
    <w:p>
      <w:pPr>
        <w:pStyle w:val="BodyText"/>
        <w:ind w:start="1080" w:end="0"/>
        <w:rPr>
          <w:sz w:val="22"/>
        </w:rPr>
      </w:pPr>
      <w:r>
        <w:rPr>
          <w:sz w:val="22"/>
        </w:rPr>
        <w:t>Task Force Finding: Under the circumstances presented in this case, current NERC policy permits Enron to net schedules into and out of its control area, subject to two conditions; first, the net schedule must not exceed the thermal limits of the interconnection between Enron and TVA; second, the net schedule must not cause an overload on other paths in the network.</w:t>
      </w:r>
    </w:p>
    <w:p>
      <w:pPr>
        <w:pStyle w:val="Normal"/>
        <w:ind w:start="1080" w:end="0"/>
        <w:rPr>
          <w:sz w:val="22"/>
        </w:rPr>
      </w:pPr>
      <w:r>
        <w:rPr>
          <w:sz w:val="22"/>
        </w:rPr>
      </w:r>
    </w:p>
    <w:p>
      <w:pPr>
        <w:pStyle w:val="Normal"/>
        <w:ind w:start="1080" w:end="0"/>
        <w:rPr>
          <w:sz w:val="22"/>
        </w:rPr>
      </w:pPr>
      <w:r>
        <w:rPr>
          <w:sz w:val="22"/>
        </w:rPr>
        <w:t xml:space="preserve">Current policy states that the maximum net schedule between control areas may not exceed the lesser of the total capacity of facilities or the total transfer capability.  The policy does not, however, require a transmission provider to net transactions.  Enron may elect to net transactions allowing an increase in ATC on its side of the interface, </w:t>
      </w:r>
    </w:p>
    <w:p>
      <w:pPr>
        <w:pStyle w:val="Normal"/>
        <w:ind w:start="1080" w:end="0"/>
        <w:rPr>
          <w:sz w:val="22"/>
        </w:rPr>
      </w:pPr>
      <w:r>
        <w:rPr>
          <w:sz w:val="22"/>
        </w:rPr>
        <w:t>but TVA may elect to not net on its side.  No NERC policy requires netting.  Indeed, many providers with high volume of reservation and transaction activity will find it difficult to manage netting.</w:t>
      </w:r>
      <w:r>
        <w:br w:type="page"/>
      </w:r>
    </w:p>
    <w:p>
      <w:pPr>
        <w:pStyle w:val="Normal"/>
        <w:rPr>
          <w:sz w:val="22"/>
        </w:rPr>
      </w:pPr>
      <w:r>
        <w:rPr>
          <w:sz w:val="22"/>
        </w:rPr>
        <w:t>Page 3</w:t>
      </w:r>
    </w:p>
    <w:p>
      <w:pPr>
        <w:pStyle w:val="Normal"/>
        <w:rPr>
          <w:sz w:val="22"/>
        </w:rPr>
      </w:pPr>
      <w:r>
        <w:rPr>
          <w:sz w:val="22"/>
        </w:rPr>
        <w:t>November 29, 1999</w:t>
      </w:r>
    </w:p>
    <w:p>
      <w:pPr>
        <w:pStyle w:val="Normal"/>
        <w:ind w:start="1080" w:end="0"/>
        <w:rPr>
          <w:sz w:val="22"/>
        </w:rPr>
      </w:pPr>
      <w:r>
        <w:rPr>
          <w:sz w:val="22"/>
        </w:rPr>
      </w:r>
    </w:p>
    <w:p>
      <w:pPr>
        <w:pStyle w:val="Normal"/>
        <w:ind w:start="1080" w:end="0"/>
        <w:rPr>
          <w:sz w:val="22"/>
        </w:rPr>
      </w:pPr>
      <w:r>
        <w:rPr>
          <w:sz w:val="22"/>
        </w:rPr>
      </w:r>
    </w:p>
    <w:p>
      <w:pPr>
        <w:pStyle w:val="Normal"/>
        <w:ind w:start="1080" w:end="0"/>
        <w:rPr>
          <w:sz w:val="22"/>
        </w:rPr>
      </w:pPr>
      <w:r>
        <w:rPr>
          <w:sz w:val="22"/>
        </w:rPr>
      </w:r>
    </w:p>
    <w:p>
      <w:pPr>
        <w:pStyle w:val="Normal"/>
        <w:numPr>
          <w:ilvl w:val="0"/>
          <w:numId w:val="3"/>
        </w:numPr>
        <w:rPr>
          <w:sz w:val="22"/>
        </w:rPr>
      </w:pPr>
      <w:r>
        <w:rPr>
          <w:sz w:val="22"/>
        </w:rPr>
        <w:t>Transaction Tagging Requirements</w:t>
      </w:r>
    </w:p>
    <w:p>
      <w:pPr>
        <w:pStyle w:val="BodyTextIndent2"/>
        <w:rPr/>
      </w:pPr>
      <w:r>
        <w:rPr/>
        <w:t>Issue No. 5: Is it appropriate for Enron to make reservations or schedules over the TVA system into the Enron control area, knowing that the transaction will not sink there?  Similarly, is it appropriate for Enron to make reservations and schedules out of the Enron control area, knowing that Enron is not the source of the transaction?  A corollary question is whether Enron may schedule into its control area on a day-ahead basis, with the offsetting schedule submitted in advance of implementation of the schedule.</w:t>
      </w:r>
    </w:p>
    <w:p>
      <w:pPr>
        <w:pStyle w:val="Normal"/>
        <w:rPr>
          <w:i/>
          <w:i/>
          <w:sz w:val="22"/>
        </w:rPr>
      </w:pPr>
      <w:r>
        <w:rPr>
          <w:i/>
          <w:sz w:val="22"/>
        </w:rPr>
      </w:r>
    </w:p>
    <w:p>
      <w:pPr>
        <w:pStyle w:val="Normal"/>
        <w:ind w:start="720" w:end="0"/>
        <w:rPr>
          <w:i/>
          <w:i/>
          <w:sz w:val="22"/>
        </w:rPr>
      </w:pPr>
      <w:r>
        <w:rPr>
          <w:i/>
          <w:sz w:val="22"/>
          <w:u w:val="single"/>
        </w:rPr>
        <w:t xml:space="preserve">Additional Task Force Comments: </w:t>
      </w:r>
    </w:p>
    <w:p>
      <w:pPr>
        <w:pStyle w:val="Normal"/>
        <w:ind w:start="720" w:end="0"/>
        <w:rPr>
          <w:i/>
          <w:i/>
          <w:sz w:val="22"/>
        </w:rPr>
      </w:pPr>
      <w:r>
        <w:rPr>
          <w:i/>
          <w:sz w:val="22"/>
        </w:rPr>
      </w:r>
    </w:p>
    <w:p>
      <w:pPr>
        <w:pStyle w:val="Normal"/>
        <w:ind w:start="720" w:end="0"/>
        <w:rPr>
          <w:i/>
          <w:i/>
          <w:sz w:val="22"/>
        </w:rPr>
      </w:pPr>
      <w:r>
        <w:rPr>
          <w:i/>
          <w:sz w:val="22"/>
        </w:rPr>
        <w:t>This is the most difficult and the most important of the issues presented by the dispute.  On the one hand, TVA is correct that accurate source and sink data must be available so that control areas and security coordinators can analyze system operations for potential security violations before implementing an Interchange Transaction.  By definition, a generation-only control area has no load – that means it cannot be a sink.  On the other hand, Enron wants to list its control area as a sink on a temporary basis – until it schedules the offsetting side of its transactions, in effect scheduling source-to-hub and hub-to-sink.  Current NERC Operating Policies do not require that Interchange Transactions be tagged with their true or ultimate sources and sinks.  Thus, the practice proposed by Enron is permissible under current policies.</w:t>
      </w:r>
    </w:p>
    <w:p>
      <w:pPr>
        <w:pStyle w:val="Normal"/>
        <w:rPr>
          <w:i/>
          <w:i/>
          <w:sz w:val="22"/>
        </w:rPr>
      </w:pPr>
      <w:r>
        <w:rPr>
          <w:i/>
          <w:sz w:val="22"/>
        </w:rPr>
      </w:r>
    </w:p>
    <w:p>
      <w:pPr>
        <w:pStyle w:val="Normal"/>
        <w:ind w:start="720" w:end="0"/>
        <w:rPr/>
      </w:pPr>
      <w:r>
        <w:rPr>
          <w:sz w:val="22"/>
        </w:rPr>
        <w:t>This is a very important issue, and the reliability implications of this Task Force interpretation</w:t>
      </w:r>
      <w:r>
        <w:rPr>
          <w:b/>
          <w:sz w:val="22"/>
        </w:rPr>
        <w:t xml:space="preserve"> </w:t>
      </w:r>
      <w:r>
        <w:rPr>
          <w:sz w:val="22"/>
        </w:rPr>
        <w:t>are significant.</w:t>
      </w:r>
    </w:p>
    <w:p>
      <w:pPr>
        <w:pStyle w:val="Normal"/>
        <w:ind w:start="720" w:end="0"/>
        <w:rPr>
          <w:sz w:val="22"/>
        </w:rPr>
      </w:pPr>
      <w:r>
        <w:rPr>
          <w:sz w:val="22"/>
        </w:rPr>
      </w:r>
    </w:p>
    <w:p>
      <w:pPr>
        <w:pStyle w:val="BodyTextIndent"/>
        <w:ind w:start="720" w:end="0"/>
        <w:rPr/>
      </w:pPr>
      <w:r>
        <w:rPr/>
        <w:t>Current NERC Policy 3 and Appendix 3A clearly require that the sending and receiving control areas be identified on the transaction tag.  NERC staff can verify this fact.</w:t>
      </w:r>
    </w:p>
    <w:p>
      <w:pPr>
        <w:pStyle w:val="Normal"/>
        <w:ind w:start="1440" w:end="0"/>
        <w:rPr>
          <w:sz w:val="22"/>
        </w:rPr>
      </w:pPr>
      <w:r>
        <w:rPr>
          <w:sz w:val="22"/>
        </w:rPr>
      </w:r>
    </w:p>
    <w:p>
      <w:pPr>
        <w:pStyle w:val="Normal"/>
        <w:ind w:start="720" w:end="0"/>
        <w:rPr>
          <w:sz w:val="22"/>
        </w:rPr>
      </w:pPr>
      <w:r>
        <w:rPr>
          <w:sz w:val="22"/>
        </w:rPr>
        <w:t>Transaction tags submitted day ahead showing source and sink control areas are studied for reliability impact.  If the source or sink is not correct, i.e. not stated as they will be actually implemented, the security analysis may show problems that do not exist or not identify problems that actually will exist.  These transactions may also incorrectly skew the ATC calculations resulting in overstating or understating the ATC.</w:t>
      </w:r>
    </w:p>
    <w:p>
      <w:pPr>
        <w:pStyle w:val="Normal"/>
        <w:rPr>
          <w:sz w:val="22"/>
        </w:rPr>
      </w:pPr>
      <w:r>
        <w:rPr>
          <w:sz w:val="22"/>
        </w:rPr>
      </w:r>
    </w:p>
    <w:p>
      <w:pPr>
        <w:pStyle w:val="BodyTextIndent"/>
        <w:ind w:start="720" w:end="0"/>
        <w:rPr/>
      </w:pPr>
      <w:r>
        <w:rPr/>
        <w:t>Allowing incorrect source or sink information to be submitted on the tag can cause significant confusion during curtailments.  If all transactions are accurate in the IDC, the flow impact of each will be correct.  If incorrect information is supplied and an operating security limit is violated requiring curtailment, the IDC will incorrectly model the impact of this curtailment.  Incorrect source-sink control area information on Enron-TVA transaction tags will incorrectly model flow impacts throughout other parts of the interconnection.</w:t>
      </w:r>
      <w:r>
        <w:br w:type="page"/>
      </w:r>
    </w:p>
    <w:p>
      <w:pPr>
        <w:pStyle w:val="BodyTextIndent"/>
        <w:ind w:start="0" w:end="0"/>
        <w:rPr/>
      </w:pPr>
      <w:r>
        <w:rPr/>
        <w:t>Page 4</w:t>
      </w:r>
    </w:p>
    <w:p>
      <w:pPr>
        <w:pStyle w:val="BodyTextIndent"/>
        <w:ind w:start="0" w:end="0"/>
        <w:rPr/>
      </w:pPr>
      <w:r>
        <w:rPr/>
        <w:t>November 29, 1999</w:t>
      </w:r>
    </w:p>
    <w:p>
      <w:pPr>
        <w:pStyle w:val="Normal"/>
        <w:ind w:start="1440" w:end="0"/>
        <w:rPr>
          <w:sz w:val="22"/>
        </w:rPr>
      </w:pPr>
      <w:r>
        <w:rPr>
          <w:sz w:val="22"/>
        </w:rPr>
      </w:r>
    </w:p>
    <w:p>
      <w:pPr>
        <w:pStyle w:val="Normal"/>
        <w:ind w:start="720" w:end="0"/>
        <w:rPr>
          <w:sz w:val="22"/>
        </w:rPr>
      </w:pPr>
      <w:r>
        <w:rPr>
          <w:sz w:val="22"/>
        </w:rPr>
      </w:r>
    </w:p>
    <w:p>
      <w:pPr>
        <w:pStyle w:val="Normal"/>
        <w:ind w:start="720" w:end="0"/>
        <w:rPr>
          <w:b/>
          <w:sz w:val="22"/>
        </w:rPr>
      </w:pPr>
      <w:r>
        <w:rPr>
          <w:sz w:val="22"/>
        </w:rPr>
        <w:t>The Task Force has significantly degraded the value of security analysis by stating that the true ultimate source and sink are not required on a tag.  Such an interpretation</w:t>
      </w:r>
      <w:r>
        <w:rPr>
          <w:b/>
          <w:sz w:val="22"/>
        </w:rPr>
        <w:t xml:space="preserve"> </w:t>
      </w:r>
      <w:r>
        <w:rPr>
          <w:sz w:val="22"/>
        </w:rPr>
        <w:t>ignores the requirement for identification of the source and sink Control Areas.  The omission of source and sink information</w:t>
      </w:r>
      <w:r>
        <w:rPr>
          <w:b/>
          <w:sz w:val="22"/>
        </w:rPr>
        <w:t xml:space="preserve"> </w:t>
      </w:r>
      <w:r>
        <w:rPr>
          <w:sz w:val="22"/>
        </w:rPr>
        <w:t>not only implies a requirement for less identification, but also creates an impression of Board approval for less system analysis.  If all control areas and tag submitters adopted the approach set forth in the Task Force’s letter, the tagging process and the IDC analysis would be rendered meaningless.</w:t>
      </w:r>
    </w:p>
    <w:p>
      <w:pPr>
        <w:pStyle w:val="Header"/>
        <w:tabs>
          <w:tab w:val="clear" w:pos="4320"/>
          <w:tab w:val="clear" w:pos="8640"/>
        </w:tabs>
        <w:rPr>
          <w:b/>
          <w:sz w:val="22"/>
        </w:rPr>
      </w:pPr>
      <w:r>
        <w:rPr>
          <w:b/>
          <w:sz w:val="22"/>
        </w:rPr>
      </w:r>
    </w:p>
    <w:p>
      <w:pPr>
        <w:pStyle w:val="Normal"/>
        <w:numPr>
          <w:ilvl w:val="0"/>
          <w:numId w:val="3"/>
        </w:numPr>
        <w:rPr>
          <w:sz w:val="22"/>
        </w:rPr>
      </w:pPr>
      <w:r>
        <w:rPr>
          <w:sz w:val="22"/>
        </w:rPr>
        <w:t>Due Process</w:t>
      </w:r>
    </w:p>
    <w:p>
      <w:pPr>
        <w:pStyle w:val="Normal"/>
        <w:rPr>
          <w:sz w:val="22"/>
        </w:rPr>
      </w:pPr>
      <w:r>
        <w:rPr>
          <w:sz w:val="22"/>
        </w:rPr>
      </w:r>
    </w:p>
    <w:p>
      <w:pPr>
        <w:pStyle w:val="Normal"/>
        <w:ind w:start="720" w:end="0"/>
        <w:rPr/>
      </w:pPr>
      <w:r>
        <w:rPr>
          <w:sz w:val="22"/>
        </w:rPr>
        <w:t>SERC supported the formation of the Policy Interpretation Task Force because we felt that SERC would receive guidance on critical issues that would allow resolution of the matter.  SERC is now concerned that the NERC Board of Trustees’ Policy for Due Process for issue resolution was violated by the Task Force’s actions.  The introduction of new definitions, e.g. “parking”, and the development of new policy, without proper due process,</w:t>
      </w:r>
      <w:r>
        <w:rPr>
          <w:b/>
          <w:sz w:val="22"/>
        </w:rPr>
        <w:t xml:space="preserve"> </w:t>
      </w:r>
      <w:r>
        <w:rPr>
          <w:sz w:val="22"/>
        </w:rPr>
        <w:t>exceeds the Task Force’s authority.</w:t>
      </w:r>
    </w:p>
    <w:p>
      <w:pPr>
        <w:pStyle w:val="Normal"/>
        <w:rPr>
          <w:sz w:val="22"/>
        </w:rPr>
      </w:pPr>
      <w:r>
        <w:rPr>
          <w:sz w:val="22"/>
        </w:rPr>
      </w:r>
    </w:p>
    <w:p>
      <w:pPr>
        <w:pStyle w:val="Normal"/>
        <w:rPr>
          <w:sz w:val="22"/>
        </w:rPr>
      </w:pPr>
      <w:r>
        <w:rPr>
          <w:sz w:val="22"/>
        </w:rPr>
        <w:t>We respectfully request that the NERC Policy Interpretation Task Force reconsider the positions taken in the Enron/TVA analysis to ensure that current policies are reflected, that grid reliability is not degraded by the implementation of these positions, and that the Board’s Policy for Due Process is not violated.</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rFonts w:ascii="BD Cursif" w:hAnsi="BD Cursif" w:cs="BD Cursif"/>
          <w:sz w:val="36"/>
        </w:rPr>
      </w:pPr>
      <w:r>
        <w:rPr>
          <w:rFonts w:cs="BD Cursif" w:ascii="BD Cursif" w:hAnsi="BD Cursif"/>
          <w:sz w:val="36"/>
        </w:rPr>
        <w:t>William Reinke</w:t>
      </w:r>
    </w:p>
    <w:p>
      <w:pPr>
        <w:pStyle w:val="Normal"/>
        <w:rPr>
          <w:rFonts w:ascii="BD Cursif" w:hAnsi="BD Cursif" w:cs="BD Cursif"/>
          <w:sz w:val="22"/>
        </w:rPr>
      </w:pPr>
      <w:r>
        <w:rPr>
          <w:rFonts w:cs="BD Cursif" w:ascii="BD Cursif" w:hAnsi="BD Cursif"/>
          <w:sz w:val="22"/>
        </w:rPr>
      </w:r>
    </w:p>
    <w:p>
      <w:pPr>
        <w:pStyle w:val="Normal"/>
        <w:rPr>
          <w:sz w:val="22"/>
        </w:rPr>
      </w:pPr>
      <w:r>
        <w:rPr>
          <w:sz w:val="22"/>
        </w:rPr>
      </w:r>
    </w:p>
    <w:p>
      <w:pPr>
        <w:pStyle w:val="Normal"/>
        <w:rPr>
          <w:sz w:val="22"/>
        </w:rPr>
      </w:pPr>
      <w:r>
        <w:rPr>
          <w:sz w:val="22"/>
        </w:rPr>
        <w:t>William F. Reinke</w:t>
      </w:r>
    </w:p>
    <w:p>
      <w:pPr>
        <w:pStyle w:val="Normal"/>
        <w:rPr>
          <w:sz w:val="22"/>
        </w:rPr>
      </w:pPr>
      <w:r>
        <w:rPr>
          <w:sz w:val="22"/>
        </w:rPr>
      </w:r>
    </w:p>
    <w:p>
      <w:pPr>
        <w:pStyle w:val="Normal"/>
        <w:rPr>
          <w:sz w:val="22"/>
        </w:rPr>
      </w:pPr>
      <w:r>
        <w:rPr>
          <w:sz w:val="22"/>
        </w:rPr>
        <w:t>cc:</w:t>
        <w:tab/>
        <w:t>Michehl Gent</w:t>
      </w:r>
    </w:p>
    <w:p>
      <w:pPr>
        <w:pStyle w:val="Normal"/>
        <w:rPr>
          <w:sz w:val="22"/>
        </w:rPr>
      </w:pPr>
      <w:r>
        <w:rPr>
          <w:sz w:val="22"/>
        </w:rPr>
        <w:tab/>
        <w:t>SERC Executive Committee</w:t>
      </w:r>
    </w:p>
    <w:p>
      <w:pPr>
        <w:pStyle w:val="Normal"/>
        <w:rPr>
          <w:sz w:val="22"/>
        </w:rPr>
      </w:pPr>
      <w:r>
        <w:rPr>
          <w:sz w:val="22"/>
        </w:rPr>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D Cursif">
    <w:charset w:val="00" w:characterSet="windows-125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pPr>
    <w:rPr>
      <w:sz w:val="22"/>
    </w:rPr>
  </w:style>
  <w:style w:type="paragraph" w:styleId="BodyTextIndent2">
    <w:name w:val="Body Text Indent 2"/>
    <w:basedOn w:val="Normal"/>
    <w:qFormat/>
    <w:pPr>
      <w:ind w:hanging="0" w:start="720" w:end="0"/>
    </w:pPr>
    <w:rPr>
      <w:i/>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1999-11-30T12:41:00Z</dcterms:created>
  <dc:creator>eileen hedrick</dc:creator>
  <dc:description/>
  <dc:language>en-CA</dc:language>
  <cp:lastModifiedBy>Teresa Glaze</cp:lastModifiedBy>
  <cp:lastPrinted>1999-11-29T12:15:00Z</cp:lastPrinted>
  <dcterms:modified xsi:type="dcterms:W3CDTF">1999-11-30T12:41:00Z</dcterms:modified>
  <cp:revision>2</cp:revision>
  <dc:subject/>
  <dc:title>November 24, 1999</dc:title>
</cp:coreProperties>
</file>