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sz w:val="28"/>
        </w:rPr>
      </w:pPr>
      <w:r>
        <w:rPr>
          <w:sz w:val="28"/>
        </w:rPr>
      </w:r>
    </w:p>
    <w:p>
      <w:pPr>
        <w:pStyle w:val="Header"/>
        <w:tabs>
          <w:tab w:val="clear" w:pos="4320"/>
          <w:tab w:val="clear" w:pos="8640"/>
        </w:tabs>
        <w:rPr>
          <w:sz w:val="28"/>
        </w:rPr>
      </w:pPr>
      <w:r>
        <w:rPr>
          <w:sz w:val="28"/>
        </w:rPr>
      </w:r>
    </w:p>
    <w:p>
      <w:pPr>
        <w:pStyle w:val="Header"/>
        <w:tabs>
          <w:tab w:val="clear" w:pos="4320"/>
          <w:tab w:val="clear" w:pos="8640"/>
        </w:tabs>
        <w:jc w:val="center"/>
        <w:rPr>
          <w:b/>
          <w:shadow/>
          <w:color w:val="333399"/>
        </w:rPr>
      </w:pPr>
      <w:r>
        <w:rPr>
          <w:b/>
          <w:shadow/>
          <w:color w:val="333399"/>
        </w:rPr>
        <w:t>General FERC Matters</w:t>
      </w:r>
    </w:p>
    <w:p>
      <w:pPr>
        <w:pStyle w:val="Header"/>
        <w:tabs>
          <w:tab w:val="clear" w:pos="4320"/>
          <w:tab w:val="clear" w:pos="8640"/>
        </w:tabs>
        <w:rPr>
          <w:b/>
          <w:shadow/>
          <w:color w:val="333399"/>
        </w:rPr>
      </w:pPr>
      <w:r>
        <w:rPr>
          <w:b/>
          <w:shadow/>
          <w:color w:val="333399"/>
        </w:rPr>
      </w:r>
    </w:p>
    <w:p>
      <w:pPr>
        <w:pStyle w:val="Header"/>
        <w:numPr>
          <w:ilvl w:val="0"/>
          <w:numId w:val="1"/>
        </w:numPr>
        <w:tabs>
          <w:tab w:val="clear" w:pos="4320"/>
          <w:tab w:val="clear" w:pos="8640"/>
        </w:tabs>
        <w:rPr>
          <w:bCs/>
          <w:color w:val="333399"/>
        </w:rPr>
      </w:pPr>
      <w:r>
        <w:rPr>
          <w:b/>
          <w:color w:val="333399"/>
        </w:rPr>
        <w:t xml:space="preserve">Strategic and 2002 Business Plan. </w:t>
      </w:r>
      <w:r>
        <w:rPr>
          <w:bCs/>
          <w:color w:val="333399"/>
        </w:rPr>
        <w:t xml:space="preserve">In reaching the goals outlined in the strategic plan, FERC intends several initiatives such as removing impediments to market investment, encouraging use of new technology, continuing to advance competitive markets; addressing landowner, safety and environmental concerns and striving for clarity not only in specific areas such as cost recovery but also in communications to stakeholders. </w:t>
      </w:r>
      <w:hyperlink r:id="rId2">
        <w:r>
          <w:rPr>
            <w:rStyle w:val="Hyperlink"/>
            <w:bCs/>
          </w:rPr>
          <w:t>Business Plan</w:t>
        </w:r>
      </w:hyperlink>
    </w:p>
    <w:p>
      <w:pPr>
        <w:pStyle w:val="Header"/>
        <w:tabs>
          <w:tab w:val="clear" w:pos="4320"/>
          <w:tab w:val="clear" w:pos="8640"/>
        </w:tabs>
        <w:rPr>
          <w:bCs/>
          <w:color w:val="333399"/>
        </w:rPr>
      </w:pPr>
      <w:r>
        <w:rPr>
          <w:bCs/>
          <w:color w:val="333399"/>
        </w:rPr>
      </w:r>
    </w:p>
    <w:p>
      <w:pPr>
        <w:pStyle w:val="Header"/>
        <w:numPr>
          <w:ilvl w:val="0"/>
          <w:numId w:val="1"/>
        </w:numPr>
        <w:tabs>
          <w:tab w:val="clear" w:pos="4320"/>
          <w:tab w:val="clear" w:pos="8640"/>
        </w:tabs>
        <w:rPr>
          <w:bCs/>
          <w:color w:val="333399"/>
        </w:rPr>
      </w:pPr>
      <w:r>
        <w:rPr>
          <w:b/>
          <w:color w:val="333399"/>
        </w:rPr>
        <w:t>Infrastructure Adequacy</w:t>
      </w:r>
      <w:r>
        <w:rPr>
          <w:bCs/>
          <w:color w:val="333399"/>
        </w:rPr>
        <w:t>. There will be a series of open commission meetings held throughout the U.S. beginning in November in the West, in December or early Spring for the Northeast and later in 2002 for the Midwest and South. The intent is to reach out to the states for greater cohesion. Infrastructure</w:t>
      </w:r>
    </w:p>
    <w:p>
      <w:pPr>
        <w:pStyle w:val="Header"/>
        <w:tabs>
          <w:tab w:val="clear" w:pos="4320"/>
          <w:tab w:val="clear" w:pos="8640"/>
        </w:tabs>
        <w:rPr>
          <w:bCs/>
          <w:color w:val="333399"/>
        </w:rPr>
      </w:pPr>
      <w:r>
        <w:rPr>
          <w:bCs/>
          <w:color w:val="333399"/>
        </w:rPr>
      </w:r>
    </w:p>
    <w:p>
      <w:pPr>
        <w:pStyle w:val="Header"/>
        <w:numPr>
          <w:ilvl w:val="0"/>
          <w:numId w:val="1"/>
        </w:numPr>
        <w:tabs>
          <w:tab w:val="clear" w:pos="4320"/>
          <w:tab w:val="clear" w:pos="8640"/>
        </w:tabs>
        <w:rPr>
          <w:bCs/>
          <w:color w:val="333399"/>
        </w:rPr>
      </w:pPr>
      <w:r>
        <w:rPr>
          <w:b/>
          <w:color w:val="333399"/>
        </w:rPr>
        <w:t xml:space="preserve">RTO Progress. </w:t>
      </w:r>
      <w:r>
        <w:rPr>
          <w:bCs/>
          <w:color w:val="333399"/>
        </w:rPr>
        <w:t xml:space="preserve">FERC is imposing additional “incentives” to encourage the formation or the joining in RTOs. The Midwest, Northeast and Southeast RTOs will be considered at a FERC meeting in October with ruling expected in November. There will be a series of meetings in “RTO week” to focus on congestion management, cost recovery, marketing monitoring, transmission planning, reliability standards and transmission rights. A NOPR will be issued on market design and market structure. The memo from Chairman Pat Wood to the FERC Commissioners clearly states his view on the RTO progress and intended actions post December 31, 2001 when compliance with Order No. 2000 is required. </w:t>
      </w:r>
      <w:hyperlink r:id="rId3">
        <w:r>
          <w:rPr>
            <w:rStyle w:val="Hyperlink"/>
            <w:bCs/>
          </w:rPr>
          <w:t>Wood memo</w:t>
        </w:r>
      </w:hyperlink>
    </w:p>
    <w:p>
      <w:pPr>
        <w:pStyle w:val="Header"/>
        <w:tabs>
          <w:tab w:val="clear" w:pos="4320"/>
          <w:tab w:val="clear" w:pos="8640"/>
        </w:tabs>
        <w:rPr>
          <w:bCs/>
          <w:color w:val="333399"/>
        </w:rPr>
      </w:pPr>
      <w:r>
        <w:rPr>
          <w:bCs/>
          <w:color w:val="333399"/>
        </w:rPr>
      </w:r>
    </w:p>
    <w:p>
      <w:pPr>
        <w:pStyle w:val="Header"/>
        <w:numPr>
          <w:ilvl w:val="0"/>
          <w:numId w:val="1"/>
        </w:numPr>
        <w:tabs>
          <w:tab w:val="clear" w:pos="4320"/>
          <w:tab w:val="clear" w:pos="8640"/>
        </w:tabs>
        <w:rPr>
          <w:bCs/>
          <w:color w:val="333399"/>
        </w:rPr>
      </w:pPr>
      <w:r>
        <w:rPr>
          <w:b/>
          <w:color w:val="333399"/>
        </w:rPr>
        <w:t xml:space="preserve">Commission To Study Capacity Reserve Changes. </w:t>
      </w:r>
      <w:r>
        <w:rPr>
          <w:bCs/>
          <w:color w:val="333399"/>
        </w:rPr>
        <w:t>The Commission will study recommendations made by staff to ensure sufficient capacity in electricity markets. Staff made recommendations to consider systems that focus on the purchase of forward reserves to avoid market power problems. To ensure adequate capacity reserves, demand-side management may have an expanded role. Comments should be submitted by October 17 under Docket No. EX01-1.</w:t>
      </w:r>
    </w:p>
    <w:p>
      <w:pPr>
        <w:pStyle w:val="Header"/>
        <w:tabs>
          <w:tab w:val="clear" w:pos="4320"/>
          <w:tab w:val="clear" w:pos="8640"/>
        </w:tabs>
        <w:rPr>
          <w:bCs/>
          <w:color w:val="333399"/>
        </w:rPr>
      </w:pPr>
      <w:r>
        <w:rPr>
          <w:bCs/>
          <w:color w:val="333399"/>
        </w:rPr>
      </w:r>
    </w:p>
    <w:p>
      <w:pPr>
        <w:pStyle w:val="Header"/>
        <w:numPr>
          <w:ilvl w:val="0"/>
          <w:numId w:val="1"/>
        </w:numPr>
        <w:tabs>
          <w:tab w:val="clear" w:pos="4320"/>
          <w:tab w:val="clear" w:pos="8640"/>
        </w:tabs>
        <w:rPr>
          <w:bCs/>
          <w:color w:val="333399"/>
        </w:rPr>
      </w:pPr>
      <w:r>
        <w:rPr>
          <w:b/>
          <w:color w:val="333399"/>
        </w:rPr>
        <w:t>Commission Plans Constraint Study, Citing Costs to Consumers</w:t>
      </w:r>
      <w:r>
        <w:rPr>
          <w:bCs/>
          <w:color w:val="333399"/>
        </w:rPr>
        <w:t xml:space="preserve">. At the public meeting, Staff told the Commission that a transmission constraint study would be completed later this year. Included in Staff’s presentation was a one-month period of constraint in central California and central New York costing customers nearly $92 million combined. </w:t>
      </w:r>
    </w:p>
    <w:p>
      <w:pPr>
        <w:pStyle w:val="Header"/>
        <w:tabs>
          <w:tab w:val="clear" w:pos="4320"/>
          <w:tab w:val="clear" w:pos="8640"/>
        </w:tabs>
        <w:rPr>
          <w:b/>
          <w:bCs/>
          <w:shadow/>
          <w:color w:val="333399"/>
        </w:rPr>
      </w:pPr>
      <w:r>
        <w:rPr>
          <w:b/>
          <w:bCs/>
          <w:shadow/>
          <w:color w:val="333399"/>
        </w:rPr>
      </w:r>
    </w:p>
    <w:p>
      <w:pPr>
        <w:pStyle w:val="Header"/>
        <w:tabs>
          <w:tab w:val="clear" w:pos="4320"/>
          <w:tab w:val="clear" w:pos="8640"/>
        </w:tabs>
        <w:jc w:val="center"/>
        <w:rPr>
          <w:b/>
          <w:shadow/>
          <w:color w:val="333399"/>
        </w:rPr>
      </w:pPr>
      <w:r>
        <w:rPr>
          <w:b/>
          <w:shadow/>
          <w:color w:val="333399"/>
        </w:rPr>
        <w:t>FERC Rulemaking</w:t>
      </w:r>
    </w:p>
    <w:p>
      <w:pPr>
        <w:pStyle w:val="Header"/>
        <w:tabs>
          <w:tab w:val="clear" w:pos="4320"/>
          <w:tab w:val="clear" w:pos="8640"/>
        </w:tabs>
        <w:rPr>
          <w:b/>
          <w:shadow/>
          <w:color w:val="333399"/>
        </w:rPr>
      </w:pPr>
      <w:r>
        <w:rPr>
          <w:b/>
          <w:shadow/>
          <w:color w:val="333399"/>
        </w:rPr>
      </w:r>
    </w:p>
    <w:p>
      <w:pPr>
        <w:pStyle w:val="Header"/>
        <w:numPr>
          <w:ilvl w:val="0"/>
          <w:numId w:val="1"/>
        </w:numPr>
        <w:tabs>
          <w:tab w:val="clear" w:pos="4320"/>
          <w:tab w:val="clear" w:pos="8640"/>
        </w:tabs>
        <w:rPr>
          <w:bCs/>
          <w:color w:val="333399"/>
        </w:rPr>
      </w:pPr>
      <w:r>
        <w:rPr>
          <w:b/>
          <w:color w:val="333399"/>
        </w:rPr>
        <w:t xml:space="preserve">NOPR Extends Marketing Affiliates To Now Include All “Energy” Affiliates. </w:t>
      </w:r>
      <w:r>
        <w:rPr>
          <w:bCs/>
          <w:color w:val="333399"/>
        </w:rPr>
        <w:t xml:space="preserve">The new NOPR proposes substantial changes in the standards of conduct rules. There are three areas that are most notable: 1) application of the same standards for both the gas and electric industries; 2) expansion of the definition of energy affiliate as promulgated in the Dominion/CNG order and 3) the posting of all offers of discounts contemporaneously. During the Commission meeting this week, Commissioner Massey asked if there were any energy-type affiliates that would be exempt. Staff responded “no.” The rules do not directly govern energy affiliates, but they govern the disclosure of information and the separation of transmission employees, officers and directors from other businesses. Commissioner Breathitt argued for exempting personnel dealing solely with retail native load. The Commissioners ratified a proposed rule with no exceptions, but which makes clear that in the final rule the Commission may reverse field and determine that separation of employees dealing with sales of native load is not required. Parties commenting must provide cost/benefit analysis.  </w:t>
      </w:r>
      <w:hyperlink r:id="rId4">
        <w:r>
          <w:rPr>
            <w:rStyle w:val="Hyperlink"/>
            <w:bCs/>
          </w:rPr>
          <w:t>RM01-10</w:t>
        </w:r>
      </w:hyperlink>
      <w:r>
        <w:rPr>
          <w:bCs/>
          <w:color w:val="333399"/>
        </w:rPr>
        <w:t xml:space="preserve"> and </w:t>
      </w:r>
      <w:hyperlink r:id="rId5">
        <w:r>
          <w:rPr>
            <w:rStyle w:val="Hyperlink"/>
            <w:bCs/>
          </w:rPr>
          <w:t>Summary of NOPR</w:t>
        </w:r>
      </w:hyperlink>
    </w:p>
    <w:p>
      <w:pPr>
        <w:pStyle w:val="Header"/>
        <w:tabs>
          <w:tab w:val="clear" w:pos="4320"/>
          <w:tab w:val="clear" w:pos="8640"/>
        </w:tabs>
        <w:rPr>
          <w:bCs/>
          <w:color w:val="333399"/>
        </w:rPr>
      </w:pPr>
      <w:r>
        <w:rPr>
          <w:bCs/>
          <w:color w:val="333399"/>
        </w:rPr>
      </w:r>
    </w:p>
    <w:p>
      <w:pPr>
        <w:pStyle w:val="Header"/>
        <w:numPr>
          <w:ilvl w:val="0"/>
          <w:numId w:val="1"/>
        </w:numPr>
        <w:tabs>
          <w:tab w:val="clear" w:pos="4320"/>
          <w:tab w:val="clear" w:pos="8640"/>
        </w:tabs>
        <w:rPr>
          <w:bCs/>
          <w:color w:val="333399"/>
        </w:rPr>
      </w:pPr>
      <w:r>
        <w:rPr>
          <w:b/>
          <w:color w:val="333399"/>
        </w:rPr>
        <w:t xml:space="preserve">Order Denies The New Power Company Waiver, Grants Clarification. </w:t>
      </w:r>
      <w:r>
        <w:rPr>
          <w:bCs/>
          <w:color w:val="333399"/>
        </w:rPr>
        <w:t xml:space="preserve">The New Power Company requested waiver of the reporting requirements for gas sellers and transporters serving California. FERC denies waiver but will permit New Power Company to file aggregate data. The specific information requested was set forth in a July 25 order. New Power states that it serves residential and small commercial customers in gas and electricity markets with only 600 small consumers in PG&amp;E’s service territory of northern California. FERC will grant New Power’s alternative request to respond to the questions on an aggregate basis in view of its description of how it operates, having sales similar to an LDC. </w:t>
      </w:r>
      <w:hyperlink r:id="rId6">
        <w:r>
          <w:rPr>
            <w:rStyle w:val="Hyperlink"/>
            <w:bCs/>
          </w:rPr>
          <w:t>RM01-9</w:t>
        </w:r>
      </w:hyperlink>
    </w:p>
    <w:p>
      <w:pPr>
        <w:pStyle w:val="Header"/>
        <w:tabs>
          <w:tab w:val="clear" w:pos="4320"/>
          <w:tab w:val="clear" w:pos="8640"/>
        </w:tabs>
        <w:rPr>
          <w:bCs/>
          <w:color w:val="333399"/>
        </w:rPr>
      </w:pPr>
      <w:r>
        <w:rPr>
          <w:bCs/>
          <w:color w:val="333399"/>
        </w:rPr>
      </w:r>
    </w:p>
    <w:p>
      <w:pPr>
        <w:pStyle w:val="Header"/>
        <w:numPr>
          <w:ilvl w:val="0"/>
          <w:numId w:val="1"/>
        </w:numPr>
        <w:tabs>
          <w:tab w:val="clear" w:pos="4320"/>
          <w:tab w:val="clear" w:pos="8640"/>
        </w:tabs>
        <w:rPr>
          <w:bCs/>
          <w:color w:val="333399"/>
        </w:rPr>
      </w:pPr>
      <w:r>
        <w:rPr>
          <w:b/>
          <w:color w:val="333399"/>
        </w:rPr>
        <w:t xml:space="preserve">Notice of Inquiry Issued For Electronic Service of Documents. </w:t>
      </w:r>
      <w:r>
        <w:rPr>
          <w:bCs/>
          <w:color w:val="333399"/>
        </w:rPr>
        <w:t xml:space="preserve"> On September 27, 2001 FERC issued an NOI inviting comments on permitting the Commission to serve documents on parties through electronic means (eService). Comments are also requested on whether there is interest in a subscription service allowing for documents issued by the Commission to be transmitted electronically to individuals (eDistribution). This eliminates mailing of hard copies by the Commission and furthers the access to these documents by parties interested in being informed in proceedings without having to file an intervention. In 1999, the Commission issued Order No. 604 that permits participants to proceedings to voluntarily serve documents on one another by electronic means – this extends the initiative to documents issued by the Commission under a separate rulemaking docket. The Commission requests comments to several questions on the viability to such electronic service issues by November 2, 2001. </w:t>
      </w:r>
      <w:hyperlink r:id="rId7">
        <w:r>
          <w:rPr>
            <w:rStyle w:val="Hyperlink"/>
            <w:bCs/>
          </w:rPr>
          <w:t>RM01-11</w:t>
        </w:r>
      </w:hyperlink>
    </w:p>
    <w:p>
      <w:pPr>
        <w:pStyle w:val="Header"/>
        <w:tabs>
          <w:tab w:val="clear" w:pos="4320"/>
          <w:tab w:val="clear" w:pos="8640"/>
        </w:tabs>
        <w:ind w:start="360" w:end="0"/>
        <w:rPr>
          <w:bCs/>
          <w:color w:val="333399"/>
        </w:rPr>
      </w:pPr>
      <w:r>
        <w:rPr>
          <w:bCs/>
          <w:color w:val="333399"/>
        </w:rPr>
      </w:r>
    </w:p>
    <w:p>
      <w:pPr>
        <w:pStyle w:val="Header"/>
        <w:tabs>
          <w:tab w:val="clear" w:pos="4320"/>
          <w:tab w:val="clear" w:pos="8640"/>
        </w:tabs>
        <w:ind w:start="360" w:end="0"/>
        <w:rPr>
          <w:bCs/>
          <w:color w:val="333399"/>
        </w:rPr>
      </w:pPr>
      <w:r>
        <w:rPr>
          <w:bCs/>
          <w:color w:val="333399"/>
        </w:rPr>
      </w:r>
    </w:p>
    <w:p>
      <w:pPr>
        <w:pStyle w:val="Header"/>
        <w:tabs>
          <w:tab w:val="clear" w:pos="4320"/>
          <w:tab w:val="clear" w:pos="8640"/>
        </w:tabs>
        <w:jc w:val="center"/>
        <w:rPr>
          <w:b/>
          <w:shadow/>
          <w:color w:val="333399"/>
        </w:rPr>
      </w:pPr>
      <w:r>
        <w:rPr>
          <w:b/>
          <w:shadow/>
          <w:color w:val="333399"/>
        </w:rPr>
        <w:t>ETS Related Orders/Filings</w:t>
      </w:r>
    </w:p>
    <w:p>
      <w:pPr>
        <w:pStyle w:val="Header"/>
        <w:tabs>
          <w:tab w:val="clear" w:pos="4320"/>
          <w:tab w:val="clear" w:pos="8640"/>
        </w:tabs>
        <w:rPr>
          <w:b/>
          <w:shadow/>
          <w:color w:val="333399"/>
        </w:rPr>
      </w:pPr>
      <w:r>
        <w:rPr>
          <w:b/>
          <w:shadow/>
          <w:color w:val="333399"/>
        </w:rPr>
      </w:r>
    </w:p>
    <w:p>
      <w:pPr>
        <w:pStyle w:val="Header"/>
        <w:numPr>
          <w:ilvl w:val="0"/>
          <w:numId w:val="1"/>
        </w:numPr>
        <w:tabs>
          <w:tab w:val="clear" w:pos="4320"/>
          <w:tab w:val="clear" w:pos="8640"/>
        </w:tabs>
        <w:rPr>
          <w:bCs/>
          <w:color w:val="333399"/>
        </w:rPr>
      </w:pPr>
      <w:r>
        <w:rPr>
          <w:b/>
          <w:color w:val="333399"/>
        </w:rPr>
        <w:t>Florida Gas</w:t>
      </w:r>
    </w:p>
    <w:p>
      <w:pPr>
        <w:pStyle w:val="Header"/>
        <w:numPr>
          <w:ilvl w:val="0"/>
          <w:numId w:val="2"/>
        </w:numPr>
        <w:tabs>
          <w:tab w:val="clear" w:pos="4320"/>
          <w:tab w:val="clear" w:pos="8640"/>
          <w:tab w:val="left" w:pos="1080" w:leader="none"/>
        </w:tabs>
        <w:ind w:hanging="360" w:start="1080" w:end="0"/>
        <w:rPr>
          <w:bCs/>
          <w:color w:val="333399"/>
        </w:rPr>
      </w:pPr>
      <w:r>
        <w:rPr>
          <w:bCs/>
          <w:color w:val="333399"/>
        </w:rPr>
        <w:t>Tolling order of request for limited stay of certificate authority by Osceola County on citing of Station 31 in Kissimmee only. CP00-40</w:t>
      </w:r>
    </w:p>
    <w:p>
      <w:pPr>
        <w:pStyle w:val="Header"/>
        <w:numPr>
          <w:ilvl w:val="0"/>
          <w:numId w:val="2"/>
        </w:numPr>
        <w:tabs>
          <w:tab w:val="clear" w:pos="4320"/>
          <w:tab w:val="clear" w:pos="8640"/>
          <w:tab w:val="left" w:pos="1080" w:leader="none"/>
        </w:tabs>
        <w:ind w:hanging="360" w:start="1080" w:end="0"/>
        <w:rPr>
          <w:bCs/>
          <w:color w:val="333399"/>
        </w:rPr>
      </w:pPr>
      <w:r>
        <w:rPr>
          <w:bCs/>
          <w:color w:val="333399"/>
        </w:rPr>
        <w:t>Accepted revised tariff sheets permitting implementation of electronic contracting and capacity release capability. Shippers may electronically request service under any rate schedule and can execute service agreements through FGT’s website. Shippers will have 15 days to execute agreements rather than the current 30 days. RP01-536</w:t>
      </w:r>
    </w:p>
    <w:p>
      <w:pPr>
        <w:pStyle w:val="Header"/>
        <w:numPr>
          <w:ilvl w:val="0"/>
          <w:numId w:val="1"/>
        </w:numPr>
        <w:tabs>
          <w:tab w:val="clear" w:pos="4320"/>
          <w:tab w:val="clear" w:pos="8640"/>
        </w:tabs>
        <w:rPr>
          <w:bCs/>
          <w:color w:val="333399"/>
        </w:rPr>
      </w:pPr>
      <w:r>
        <w:rPr>
          <w:b/>
          <w:color w:val="333399"/>
        </w:rPr>
        <w:t>Midwestern Gas</w:t>
      </w:r>
    </w:p>
    <w:p>
      <w:pPr>
        <w:pStyle w:val="Header"/>
        <w:numPr>
          <w:ilvl w:val="0"/>
          <w:numId w:val="4"/>
        </w:numPr>
        <w:tabs>
          <w:tab w:val="clear" w:pos="4320"/>
          <w:tab w:val="clear" w:pos="8640"/>
          <w:tab w:val="left" w:pos="1080" w:leader="none"/>
        </w:tabs>
        <w:ind w:hanging="360" w:start="1080" w:end="0"/>
        <w:rPr>
          <w:bCs/>
          <w:color w:val="333399"/>
        </w:rPr>
      </w:pPr>
      <w:r>
        <w:rPr>
          <w:bCs/>
          <w:color w:val="333399"/>
        </w:rPr>
        <w:t>Accepted decrease of ACA to $0.0021 per Dth, RP01-565</w:t>
      </w:r>
    </w:p>
    <w:p>
      <w:pPr>
        <w:pStyle w:val="Header"/>
        <w:numPr>
          <w:ilvl w:val="0"/>
          <w:numId w:val="1"/>
        </w:numPr>
        <w:tabs>
          <w:tab w:val="clear" w:pos="4320"/>
          <w:tab w:val="clear" w:pos="8640"/>
        </w:tabs>
        <w:rPr>
          <w:bCs/>
          <w:color w:val="333399"/>
        </w:rPr>
      </w:pPr>
      <w:r>
        <w:rPr>
          <w:b/>
          <w:color w:val="333399"/>
        </w:rPr>
        <w:t>Northern Border</w:t>
      </w:r>
    </w:p>
    <w:p>
      <w:pPr>
        <w:pStyle w:val="Header"/>
        <w:numPr>
          <w:ilvl w:val="1"/>
          <w:numId w:val="1"/>
        </w:numPr>
        <w:tabs>
          <w:tab w:val="clear" w:pos="4320"/>
          <w:tab w:val="clear" w:pos="8640"/>
          <w:tab w:val="left" w:pos="1080" w:leader="none"/>
        </w:tabs>
        <w:ind w:hanging="360" w:start="1080" w:end="0"/>
        <w:rPr>
          <w:bCs/>
          <w:color w:val="333399"/>
        </w:rPr>
      </w:pPr>
      <w:r>
        <w:rPr>
          <w:bCs/>
          <w:color w:val="333399"/>
        </w:rPr>
        <w:t>Accepted proposed tariff sheets that outlines Northern Border’s policy to establish a specific discounted rate, RP01-563</w:t>
      </w:r>
    </w:p>
    <w:p>
      <w:pPr>
        <w:pStyle w:val="Header"/>
        <w:numPr>
          <w:ilvl w:val="0"/>
          <w:numId w:val="1"/>
        </w:numPr>
        <w:tabs>
          <w:tab w:val="clear" w:pos="4320"/>
          <w:tab w:val="clear" w:pos="8640"/>
        </w:tabs>
        <w:rPr>
          <w:bCs/>
          <w:color w:val="333399"/>
        </w:rPr>
      </w:pPr>
      <w:r>
        <w:rPr>
          <w:b/>
          <w:color w:val="333399"/>
        </w:rPr>
        <w:t>Northern Natural</w:t>
      </w:r>
    </w:p>
    <w:p>
      <w:pPr>
        <w:pStyle w:val="Header"/>
        <w:numPr>
          <w:ilvl w:val="0"/>
          <w:numId w:val="3"/>
        </w:numPr>
        <w:tabs>
          <w:tab w:val="clear" w:pos="4320"/>
          <w:tab w:val="clear" w:pos="8640"/>
          <w:tab w:val="left" w:pos="1080" w:leader="none"/>
        </w:tabs>
        <w:ind w:hanging="360" w:start="1080" w:end="0"/>
        <w:rPr>
          <w:bCs/>
          <w:color w:val="333399"/>
        </w:rPr>
      </w:pPr>
      <w:r>
        <w:rPr>
          <w:bCs/>
          <w:color w:val="333399"/>
        </w:rPr>
        <w:t>Granting sale of East Leg facilities to Wisconsin Gas Company, will be exempt from jurisdiction upon acquisition and granted Guardian’s certificate by vacating the authorization to construct the Eagle Lateral and Eagle Meter Station, CP01-401 and Guardian Pipeline, CP00-36</w:t>
      </w:r>
    </w:p>
    <w:p>
      <w:pPr>
        <w:pStyle w:val="Header"/>
        <w:numPr>
          <w:ilvl w:val="0"/>
          <w:numId w:val="3"/>
        </w:numPr>
        <w:tabs>
          <w:tab w:val="clear" w:pos="4320"/>
          <w:tab w:val="clear" w:pos="8640"/>
          <w:tab w:val="left" w:pos="1080" w:leader="none"/>
        </w:tabs>
        <w:ind w:hanging="360" w:start="1080" w:end="0"/>
        <w:rPr>
          <w:bCs/>
          <w:color w:val="333399"/>
        </w:rPr>
      </w:pPr>
      <w:r>
        <w:rPr>
          <w:bCs/>
          <w:color w:val="333399"/>
        </w:rPr>
        <w:t>By denying Producer Coalition’s late interventions, FERC dismissed their joint request for rehearing regarding the determination of the jurisdictional status of Matagorda Offshore Pipeline System (MOPS), CP95-519 and Enron Gulf Coast, CP95-516</w:t>
      </w:r>
    </w:p>
    <w:p>
      <w:pPr>
        <w:pStyle w:val="Header"/>
        <w:numPr>
          <w:ilvl w:val="0"/>
          <w:numId w:val="3"/>
        </w:numPr>
        <w:tabs>
          <w:tab w:val="clear" w:pos="4320"/>
          <w:tab w:val="clear" w:pos="8640"/>
          <w:tab w:val="left" w:pos="1080" w:leader="none"/>
        </w:tabs>
        <w:ind w:hanging="360" w:start="1080" w:end="0"/>
        <w:rPr>
          <w:bCs/>
          <w:color w:val="333399"/>
        </w:rPr>
      </w:pPr>
      <w:r>
        <w:rPr>
          <w:bCs/>
          <w:color w:val="333399"/>
        </w:rPr>
        <w:t>Granted extension until December 3, 2001 in which to file revised tariff sheets with appropriate transmission and gathering rates for MOPS, CP95-519</w:t>
      </w:r>
    </w:p>
    <w:p>
      <w:pPr>
        <w:pStyle w:val="Header"/>
        <w:numPr>
          <w:ilvl w:val="0"/>
          <w:numId w:val="3"/>
        </w:numPr>
        <w:tabs>
          <w:tab w:val="clear" w:pos="4320"/>
          <w:tab w:val="clear" w:pos="8640"/>
          <w:tab w:val="left" w:pos="1080" w:leader="none"/>
        </w:tabs>
        <w:ind w:hanging="360" w:start="1080" w:end="0"/>
        <w:rPr>
          <w:bCs/>
          <w:color w:val="333399"/>
        </w:rPr>
      </w:pPr>
      <w:r>
        <w:rPr>
          <w:bCs/>
          <w:color w:val="333399"/>
        </w:rPr>
        <w:t>Approved abandonment of individually certificated exchange agreement with Xcel Energy, CP01-413</w:t>
      </w:r>
    </w:p>
    <w:p>
      <w:pPr>
        <w:pStyle w:val="Header"/>
        <w:numPr>
          <w:ilvl w:val="0"/>
          <w:numId w:val="3"/>
        </w:numPr>
        <w:tabs>
          <w:tab w:val="clear" w:pos="4320"/>
          <w:tab w:val="clear" w:pos="8640"/>
          <w:tab w:val="left" w:pos="1080" w:leader="none"/>
        </w:tabs>
        <w:ind w:hanging="360" w:start="1080" w:end="0"/>
        <w:rPr>
          <w:bCs/>
          <w:color w:val="333399"/>
        </w:rPr>
      </w:pPr>
      <w:r>
        <w:rPr>
          <w:bCs/>
          <w:color w:val="333399"/>
        </w:rPr>
        <w:t>Errata Notice of technical conference scheduled for October 4, RP01-76</w:t>
      </w:r>
    </w:p>
    <w:p>
      <w:pPr>
        <w:pStyle w:val="Header"/>
        <w:numPr>
          <w:ilvl w:val="0"/>
          <w:numId w:val="3"/>
        </w:numPr>
        <w:tabs>
          <w:tab w:val="clear" w:pos="4320"/>
          <w:tab w:val="clear" w:pos="8640"/>
          <w:tab w:val="left" w:pos="1080" w:leader="none"/>
        </w:tabs>
        <w:ind w:hanging="360" w:start="1080" w:end="0"/>
        <w:rPr>
          <w:bCs/>
          <w:color w:val="333399"/>
        </w:rPr>
      </w:pPr>
      <w:r>
        <w:rPr>
          <w:bCs/>
          <w:color w:val="333399"/>
        </w:rPr>
        <w:t>Tolling order issued on mechanism to calculate Carlton Premium and surcharge separately, RP01-382.</w:t>
      </w:r>
    </w:p>
    <w:p>
      <w:pPr>
        <w:pStyle w:val="Header"/>
        <w:tabs>
          <w:tab w:val="clear" w:pos="4320"/>
          <w:tab w:val="clear" w:pos="8640"/>
        </w:tabs>
        <w:rPr>
          <w:bCs/>
          <w:shadow/>
          <w:color w:val="333399"/>
        </w:rPr>
      </w:pPr>
      <w:r>
        <w:rPr>
          <w:bCs/>
          <w:shadow/>
          <w:color w:val="333399"/>
        </w:rPr>
      </w:r>
    </w:p>
    <w:p>
      <w:pPr>
        <w:pStyle w:val="Header"/>
        <w:tabs>
          <w:tab w:val="clear" w:pos="4320"/>
          <w:tab w:val="clear" w:pos="8640"/>
        </w:tabs>
        <w:rPr>
          <w:bCs/>
          <w:shadow/>
          <w:color w:val="333399"/>
        </w:rPr>
      </w:pPr>
      <w:r>
        <w:rPr>
          <w:bCs/>
          <w:shadow/>
          <w:color w:val="333399"/>
        </w:rPr>
      </w:r>
    </w:p>
    <w:p>
      <w:pPr>
        <w:pStyle w:val="Header"/>
        <w:tabs>
          <w:tab w:val="clear" w:pos="4320"/>
          <w:tab w:val="clear" w:pos="8640"/>
        </w:tabs>
        <w:jc w:val="center"/>
        <w:rPr>
          <w:b/>
          <w:shadow/>
          <w:color w:val="333399"/>
        </w:rPr>
      </w:pPr>
      <w:r>
        <w:rPr>
          <w:b/>
          <w:shadow/>
          <w:color w:val="333399"/>
        </w:rPr>
        <w:t>Specific FERC Cases</w:t>
      </w:r>
    </w:p>
    <w:p>
      <w:pPr>
        <w:pStyle w:val="Header"/>
        <w:tabs>
          <w:tab w:val="clear" w:pos="4320"/>
          <w:tab w:val="clear" w:pos="8640"/>
        </w:tabs>
        <w:rPr>
          <w:b/>
          <w:shadow/>
          <w:color w:val="333399"/>
        </w:rPr>
      </w:pPr>
      <w:r>
        <w:rPr>
          <w:b/>
          <w:shadow/>
          <w:color w:val="333399"/>
        </w:rPr>
      </w:r>
    </w:p>
    <w:p>
      <w:pPr>
        <w:pStyle w:val="Header"/>
        <w:numPr>
          <w:ilvl w:val="0"/>
          <w:numId w:val="1"/>
        </w:numPr>
        <w:tabs>
          <w:tab w:val="clear" w:pos="4320"/>
          <w:tab w:val="clear" w:pos="8640"/>
        </w:tabs>
        <w:rPr>
          <w:bCs/>
          <w:color w:val="333399"/>
        </w:rPr>
      </w:pPr>
      <w:r>
        <w:rPr>
          <w:b/>
          <w:color w:val="333399"/>
        </w:rPr>
        <w:t xml:space="preserve">El Paso Order Denies Rehearing Concerning Full Requirements Issue. </w:t>
      </w:r>
      <w:r>
        <w:rPr>
          <w:bCs/>
          <w:color w:val="333399"/>
        </w:rPr>
        <w:t xml:space="preserve">On February 21, 2001 El Paso filed a prior notice of its proposal to construct two delivery point facilities and lateral pipeline to provide service to gas-fired electric generation facilities operated by Pinnacle West Energy and Duke Energy. On May 16, 2001, El Paso filed a motion to withdraw the prior notice filing, stating that Pinnacle and El Paso had redesigned the proposal, in part, and could go forward under its blanket certificate authority. The Commission issued an order on June 28, 2001 accepting El Paso’s withdrawal. Protestors raised issues concerning full requirements service El Paso proposes to provide through facilities to be constructed should be addressed in other proceedings before the Commission (i.e. Order 637). Indicated Shippers filed for rehearing of the June 28 order alleging that El Paso is segmenting the project into two portions to bypass regulations. FERC disagrees and found that El Paso appropriately selected the option provided by the regulations in redesigning the proposal to construct its proposed facilities under existing blanket certificate authorization. However, the issues raised by protestors regarding the terms and conditions of the specific transportation services to be provided will be addressed in El Paso’s ongoing Order No. 637 proceedings. </w:t>
      </w:r>
      <w:hyperlink r:id="rId8">
        <w:r>
          <w:rPr>
            <w:rStyle w:val="Hyperlink"/>
            <w:bCs/>
          </w:rPr>
          <w:t>CP01-90</w:t>
        </w:r>
      </w:hyperlink>
      <w:r>
        <w:rPr>
          <w:bCs/>
          <w:color w:val="333399"/>
        </w:rPr>
        <w:t xml:space="preserve"> </w:t>
      </w:r>
    </w:p>
    <w:p>
      <w:pPr>
        <w:pStyle w:val="Header"/>
        <w:tabs>
          <w:tab w:val="clear" w:pos="4320"/>
          <w:tab w:val="clear" w:pos="8640"/>
        </w:tabs>
        <w:rPr>
          <w:bCs/>
          <w:color w:val="333399"/>
        </w:rPr>
      </w:pPr>
      <w:r>
        <w:rPr>
          <w:bCs/>
          <w:color w:val="333399"/>
        </w:rPr>
      </w:r>
    </w:p>
    <w:p>
      <w:pPr>
        <w:pStyle w:val="Header"/>
        <w:numPr>
          <w:ilvl w:val="0"/>
          <w:numId w:val="1"/>
        </w:numPr>
        <w:tabs>
          <w:tab w:val="clear" w:pos="4320"/>
          <w:tab w:val="clear" w:pos="8640"/>
        </w:tabs>
        <w:rPr>
          <w:bCs/>
          <w:color w:val="333399"/>
        </w:rPr>
      </w:pPr>
      <w:r>
        <w:rPr>
          <w:b/>
          <w:color w:val="333399"/>
        </w:rPr>
        <w:t xml:space="preserve">Calypso Pipeline Filed Application For Importing and Transporting Gas From Proposed Interconnection. </w:t>
      </w:r>
      <w:r>
        <w:rPr>
          <w:bCs/>
          <w:color w:val="333399"/>
        </w:rPr>
        <w:t xml:space="preserve">On September 19, 2001, Calypso Pipeline filed an application to allow importing and transporting of natural gas from a proposed interconnection at the U.S./ Bahamian Exclusive Economic Zone boundary with a proposed Bahamian pipeline connected to a proposed LNG terminal in Freeport, Grand Bahama to markets in Florida and other states.     </w:t>
      </w:r>
      <w:hyperlink r:id="rId9">
        <w:r>
          <w:rPr>
            <w:rStyle w:val="Hyperlink"/>
            <w:bCs/>
          </w:rPr>
          <w:t>CP01-444</w:t>
        </w:r>
      </w:hyperlink>
    </w:p>
    <w:p>
      <w:pPr>
        <w:pStyle w:val="Header"/>
        <w:tabs>
          <w:tab w:val="clear" w:pos="4320"/>
          <w:tab w:val="clear" w:pos="8640"/>
        </w:tabs>
        <w:rPr>
          <w:bCs/>
          <w:color w:val="333399"/>
        </w:rPr>
      </w:pPr>
      <w:r>
        <w:rPr>
          <w:bCs/>
          <w:color w:val="333399"/>
        </w:rPr>
      </w:r>
    </w:p>
    <w:p>
      <w:pPr>
        <w:pStyle w:val="Header"/>
        <w:numPr>
          <w:ilvl w:val="0"/>
          <w:numId w:val="1"/>
        </w:numPr>
        <w:tabs>
          <w:tab w:val="clear" w:pos="4320"/>
          <w:tab w:val="clear" w:pos="8640"/>
        </w:tabs>
        <w:rPr>
          <w:bCs/>
          <w:color w:val="333399"/>
        </w:rPr>
      </w:pPr>
      <w:r>
        <w:rPr>
          <w:b/>
          <w:color w:val="333399"/>
        </w:rPr>
        <w:t xml:space="preserve">Transco Files Amendment to Momentum Project. </w:t>
      </w:r>
      <w:r>
        <w:rPr>
          <w:bCs/>
          <w:color w:val="333399"/>
        </w:rPr>
        <w:t xml:space="preserve">On September 24, 2001, Transco filed an amendment to redesign and downsize the project to eliminate two shippers under the project and additional quantities subscribed of Municipal Gas Authority of Georgia. Certain pipeline loops and compression facilities have been eliminated. </w:t>
      </w:r>
      <w:hyperlink r:id="rId10">
        <w:r>
          <w:rPr>
            <w:rStyle w:val="Hyperlink"/>
            <w:bCs/>
          </w:rPr>
          <w:t>CP01-388</w:t>
        </w:r>
      </w:hyperlink>
    </w:p>
    <w:p>
      <w:pPr>
        <w:pStyle w:val="Header"/>
        <w:tabs>
          <w:tab w:val="clear" w:pos="4320"/>
          <w:tab w:val="clear" w:pos="8640"/>
        </w:tabs>
        <w:rPr>
          <w:bCs/>
          <w:color w:val="333399"/>
        </w:rPr>
      </w:pPr>
      <w:r>
        <w:rPr>
          <w:bCs/>
          <w:color w:val="333399"/>
        </w:rPr>
      </w:r>
    </w:p>
    <w:p>
      <w:pPr>
        <w:pStyle w:val="Header"/>
        <w:numPr>
          <w:ilvl w:val="0"/>
          <w:numId w:val="1"/>
        </w:numPr>
        <w:tabs>
          <w:tab w:val="clear" w:pos="4320"/>
          <w:tab w:val="clear" w:pos="8640"/>
        </w:tabs>
        <w:rPr>
          <w:bCs/>
          <w:color w:val="333399"/>
        </w:rPr>
      </w:pPr>
      <w:r>
        <w:rPr>
          <w:b/>
          <w:color w:val="333399"/>
        </w:rPr>
        <w:t xml:space="preserve">Williston Plans New Powder River Basin Pipeline. </w:t>
      </w:r>
      <w:r>
        <w:rPr>
          <w:bCs/>
          <w:color w:val="333399"/>
        </w:rPr>
        <w:t xml:space="preserve">In an announcement this week, Williston Basin announced that it is filing for federal approval to construct 245 miles of pipeline spanning sections of Wyoming, Montana and North Dakota. The Williston project joins the Rimrock (intrastate) and Northern Border’s Bison pipelines. An in-service date is expected for late 2002. </w:t>
      </w:r>
    </w:p>
    <w:p>
      <w:pPr>
        <w:pStyle w:val="Header"/>
        <w:tabs>
          <w:tab w:val="clear" w:pos="4320"/>
          <w:tab w:val="clear" w:pos="8640"/>
        </w:tabs>
        <w:rPr>
          <w:bCs/>
          <w:color w:val="333399"/>
        </w:rPr>
      </w:pPr>
      <w:r>
        <w:rPr>
          <w:bCs/>
          <w:color w:val="333399"/>
        </w:rPr>
      </w:r>
    </w:p>
    <w:p>
      <w:pPr>
        <w:pStyle w:val="Header"/>
        <w:tabs>
          <w:tab w:val="clear" w:pos="4320"/>
          <w:tab w:val="clear" w:pos="8640"/>
        </w:tabs>
        <w:jc w:val="center"/>
        <w:rPr>
          <w:b/>
          <w:shadow/>
          <w:color w:val="333399"/>
        </w:rPr>
      </w:pPr>
      <w:r>
        <w:rPr>
          <w:b/>
          <w:shadow/>
          <w:color w:val="333399"/>
        </w:rPr>
        <w:t>California Energy Matters</w:t>
      </w:r>
    </w:p>
    <w:p>
      <w:pPr>
        <w:pStyle w:val="Header"/>
        <w:tabs>
          <w:tab w:val="clear" w:pos="4320"/>
          <w:tab w:val="clear" w:pos="8640"/>
        </w:tabs>
        <w:rPr>
          <w:b/>
          <w:bCs/>
          <w:shadow/>
          <w:color w:val="333399"/>
        </w:rPr>
      </w:pPr>
      <w:r>
        <w:rPr>
          <w:b/>
          <w:bCs/>
          <w:shadow/>
          <w:color w:val="333399"/>
        </w:rPr>
      </w:r>
    </w:p>
    <w:p>
      <w:pPr>
        <w:pStyle w:val="Header"/>
        <w:numPr>
          <w:ilvl w:val="0"/>
          <w:numId w:val="1"/>
        </w:numPr>
        <w:tabs>
          <w:tab w:val="clear" w:pos="4320"/>
          <w:tab w:val="clear" w:pos="8640"/>
        </w:tabs>
        <w:rPr>
          <w:bCs/>
          <w:color w:val="333399"/>
        </w:rPr>
      </w:pPr>
      <w:r>
        <w:rPr>
          <w:b/>
          <w:color w:val="333399"/>
        </w:rPr>
        <w:t xml:space="preserve">Officials Ponder Court Decision Invalidating California Seizure of Contracts. </w:t>
      </w:r>
      <w:r>
        <w:rPr>
          <w:bCs/>
          <w:color w:val="333399"/>
        </w:rPr>
        <w:t>Officials with the defunct, bankruptcy court-bound California Power Exchange said Thursday they are hoping to gain more leverage from a favorable federal appeals court ruling of September 20 against California’s seizing of private, long-term power contracts last winter. An ultimate resolution in the range of $400 million to $1 billion is at stake. California could appeal the September 20 decision to the full 9</w:t>
      </w:r>
      <w:r>
        <w:rPr>
          <w:bCs/>
          <w:color w:val="333399"/>
          <w:vertAlign w:val="superscript"/>
        </w:rPr>
        <w:t>th</w:t>
      </w:r>
      <w:r>
        <w:rPr>
          <w:bCs/>
          <w:color w:val="333399"/>
        </w:rPr>
        <w:t xml:space="preserve"> Circuit Appeals Court or directly to the U.S. Supreme Court. California –PX wants to get an agreement on the fair market value of forward power contracts between Duke energy and the state’s two largest private-sector utilities and then get paid. California –PX under its numerous financial, legal and accounting specialists, must work through hourly transactions dating back to March 31, 1998 when the state-run power auction began operations. The details are essential to the state transmission grid operator, California –ISO in the ongoing federal case looking at potential refunds of past charges by merchant generators selling to California. </w:t>
      </w:r>
    </w:p>
    <w:p>
      <w:pPr>
        <w:pStyle w:val="Header"/>
        <w:tabs>
          <w:tab w:val="clear" w:pos="4320"/>
          <w:tab w:val="clear" w:pos="8640"/>
        </w:tabs>
        <w:rPr>
          <w:bCs/>
          <w:color w:val="333399"/>
        </w:rPr>
      </w:pPr>
      <w:r>
        <w:rPr>
          <w:bCs/>
          <w:color w:val="333399"/>
        </w:rPr>
      </w:r>
    </w:p>
    <w:p>
      <w:pPr>
        <w:pStyle w:val="Header"/>
        <w:numPr>
          <w:ilvl w:val="0"/>
          <w:numId w:val="1"/>
        </w:numPr>
        <w:tabs>
          <w:tab w:val="clear" w:pos="4320"/>
          <w:tab w:val="clear" w:pos="8640"/>
        </w:tabs>
        <w:rPr>
          <w:bCs/>
          <w:color w:val="333399"/>
        </w:rPr>
      </w:pPr>
      <w:r>
        <w:rPr>
          <w:b/>
          <w:color w:val="333399"/>
        </w:rPr>
        <w:t xml:space="preserve">FERC ALJ Pushes Back California Refund Ruling to March 2002. </w:t>
      </w:r>
      <w:r>
        <w:rPr>
          <w:bCs/>
          <w:color w:val="333399"/>
        </w:rPr>
        <w:t xml:space="preserve">ALJ Bruce Birchman has again issued a revised trial schedule related to the proceeding under which he now plans to certify proposed findings of fact in March next year. Due to the recent oral argument Birchman said it was necessary to adjust the deadlines for completion of data production process for California –ISO and defunct California –PX. In a September 26 report to FERC, the ALJ said that California –ISO confirmed that it had discovered several errors involving so-called “neutrality adjustments” and errors requiring manual adjustment of data related to certain resolved settlement disputes. Neutrality adjustments are errors that affect billings and settlements that make data already provided appear to show that certain purchasers owed more money, instead of getting money back. Penalty data inadvertently had not been provided to participants. Birchman said this third issue set for hearing requires California –ISO to rerun settlement and billing processes and all penalties and to provide the data for the record. A sizeable portion of this data fell in the months of October, November and December. In light of these events, Birchman adopted a revised trial schedule planning to issue a ruling on March 8, 2002. </w:t>
      </w:r>
    </w:p>
    <w:p>
      <w:pPr>
        <w:pStyle w:val="Header"/>
        <w:tabs>
          <w:tab w:val="clear" w:pos="4320"/>
          <w:tab w:val="clear" w:pos="8640"/>
        </w:tabs>
        <w:rPr>
          <w:bCs/>
          <w:color w:val="333399"/>
        </w:rPr>
      </w:pPr>
      <w:r>
        <w:rPr>
          <w:bCs/>
          <w:color w:val="333399"/>
        </w:rPr>
      </w:r>
    </w:p>
    <w:p>
      <w:pPr>
        <w:pStyle w:val="Header"/>
        <w:numPr>
          <w:ilvl w:val="0"/>
          <w:numId w:val="1"/>
        </w:numPr>
        <w:tabs>
          <w:tab w:val="clear" w:pos="4320"/>
          <w:tab w:val="clear" w:pos="8640"/>
        </w:tabs>
        <w:rPr>
          <w:bCs/>
          <w:color w:val="333399"/>
        </w:rPr>
      </w:pPr>
      <w:r>
        <w:rPr>
          <w:b/>
          <w:color w:val="333399"/>
        </w:rPr>
        <w:t>California Senate Panel Subpoenas California –ISO Staff, Ex-Board Members.</w:t>
      </w:r>
      <w:r>
        <w:rPr>
          <w:bCs/>
          <w:color w:val="333399"/>
        </w:rPr>
        <w:t xml:space="preserve"> A California state Senate investigative committee Wednesday delivered subpoenas to sixteen individuals with current or past ties to the state transmission grid operator, California –ISO. Possible collusion among market participants last December is the focus of the effort by the state Senate Select Committee to investigate price manipulation of wholesale energy prices. Former CEO Terry Winter is getting attention mostly for defying both his oversight board and the governor in asking federal regulators to remove price caps on the real-time emergency supplies that California –ISO buys to assure adequate reserves to avoid blackout. Without consulting the board, Winter requested FERC to drop price caps. Since these actions, a five member panel appointed by Gov. Davis has replaced the entire 26 member board. </w:t>
      </w:r>
    </w:p>
    <w:p>
      <w:pPr>
        <w:pStyle w:val="Header"/>
        <w:tabs>
          <w:tab w:val="clear" w:pos="4320"/>
          <w:tab w:val="clear" w:pos="8640"/>
        </w:tabs>
        <w:rPr>
          <w:bCs/>
          <w:color w:val="333399"/>
        </w:rPr>
      </w:pPr>
      <w:r>
        <w:rPr>
          <w:bCs/>
          <w:color w:val="333399"/>
        </w:rPr>
      </w:r>
    </w:p>
    <w:p>
      <w:pPr>
        <w:pStyle w:val="Header"/>
        <w:tabs>
          <w:tab w:val="clear" w:pos="4320"/>
          <w:tab w:val="clear" w:pos="8640"/>
        </w:tabs>
        <w:jc w:val="center"/>
        <w:rPr>
          <w:b/>
          <w:shadow/>
          <w:color w:val="333399"/>
        </w:rPr>
      </w:pPr>
      <w:r>
        <w:rPr>
          <w:b/>
          <w:shadow/>
          <w:color w:val="333399"/>
        </w:rPr>
        <w:t>Electric Matters</w:t>
      </w:r>
    </w:p>
    <w:p>
      <w:pPr>
        <w:pStyle w:val="Header"/>
        <w:tabs>
          <w:tab w:val="clear" w:pos="4320"/>
          <w:tab w:val="clear" w:pos="8640"/>
        </w:tabs>
        <w:rPr>
          <w:b/>
          <w:shadow/>
          <w:color w:val="333399"/>
        </w:rPr>
      </w:pPr>
      <w:r>
        <w:rPr>
          <w:b/>
          <w:shadow/>
          <w:color w:val="333399"/>
        </w:rPr>
      </w:r>
    </w:p>
    <w:p>
      <w:pPr>
        <w:pStyle w:val="Header"/>
        <w:numPr>
          <w:ilvl w:val="0"/>
          <w:numId w:val="1"/>
        </w:numPr>
        <w:tabs>
          <w:tab w:val="clear" w:pos="4320"/>
          <w:tab w:val="clear" w:pos="8640"/>
        </w:tabs>
        <w:rPr>
          <w:bCs/>
          <w:color w:val="333399"/>
        </w:rPr>
      </w:pPr>
      <w:r>
        <w:rPr>
          <w:b/>
          <w:color w:val="333399"/>
        </w:rPr>
        <w:t xml:space="preserve">Wood Proposes December 15 As Cutoff for Utilities to Join an RTO. </w:t>
      </w:r>
      <w:r>
        <w:rPr>
          <w:bCs/>
          <w:color w:val="333399"/>
        </w:rPr>
        <w:t xml:space="preserve">Chairman Pat Wood proposed a rulemaking to standardize their market design and structure but also a cut-off date in December for all utilities to join RTOs. Wood suggested a proposed rulemaking under Section 206 of the Federal Power Act on market design and structure to translate eight regional transmission organization functions in Order 2000 into concrete protocols for all RTO organizations. Absent joining an RTO, utilities risk all market-based rate privileges being prospectively revoked following a Section 206 investigation. He also recommended that no mergers be approved relating to entities that did not become part of an operational RTO. If a public utility elects to not participate in an RTO, Wood thinks FERC should take a hard look at that utility’s transmission rates to ensure that they are just and reasonable. </w:t>
      </w:r>
    </w:p>
    <w:p>
      <w:pPr>
        <w:pStyle w:val="Header"/>
        <w:tabs>
          <w:tab w:val="clear" w:pos="4320"/>
          <w:tab w:val="clear" w:pos="8640"/>
        </w:tabs>
        <w:rPr>
          <w:b/>
          <w:bCs/>
          <w:shadow/>
          <w:color w:val="333399"/>
        </w:rPr>
      </w:pPr>
      <w:r>
        <w:rPr>
          <w:b/>
          <w:bCs/>
          <w:shadow/>
          <w:color w:val="333399"/>
        </w:rPr>
      </w:r>
    </w:p>
    <w:p>
      <w:pPr>
        <w:pStyle w:val="Header"/>
        <w:tabs>
          <w:tab w:val="clear" w:pos="4320"/>
          <w:tab w:val="clear" w:pos="8640"/>
        </w:tabs>
        <w:rPr>
          <w:b/>
          <w:shadow/>
          <w:color w:val="333399"/>
        </w:rPr>
      </w:pPr>
      <w:r>
        <w:rPr>
          <w:b/>
          <w:shadow/>
          <w:color w:val="333399"/>
        </w:rPr>
      </w:r>
    </w:p>
    <w:sectPr>
      <w:footerReference w:type="default" r:id="rId11"/>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Sept-28.doc</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lvl>
    <w:lvl w:ilvl="1">
      <w:start w:val="1"/>
      <w:numFmt w:val="bullet"/>
      <w:lvlText w:val=""/>
      <w:lvlJc w:val="start"/>
      <w:pPr>
        <w:tabs>
          <w:tab w:val="num" w:pos="1440"/>
        </w:tabs>
        <w:ind w:start="1440" w:hanging="360"/>
      </w:pPr>
      <w:rPr>
        <w:rFonts w:ascii="Symbol" w:hAnsi="Symbol" w:cs="Symbol" w:hint="default"/>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2z1">
    <w:name w:val="WW8Num2z1"/>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ferc.gov/about/mission/Marketwork.pdf" TargetMode="External"/><Relationship Id="rId3" Type="http://schemas.openxmlformats.org/officeDocument/2006/relationships/hyperlink" Target="http://www.ferc.gov/news/discussion_papers/rto_progress.pdf" TargetMode="External"/><Relationship Id="rId4" Type="http://schemas.openxmlformats.org/officeDocument/2006/relationships/hyperlink" Target="http://cips.ferc.fed.us/Q/CIPS/RULES/RM/RM01-10.000.TXT" TargetMode="External"/><Relationship Id="rId5" Type="http://schemas.openxmlformats.org/officeDocument/2006/relationships/hyperlink" Target="../../../../../common/LEGAL/JBUTLER/00memo/RM01-10%20Summary.DOC" TargetMode="External"/><Relationship Id="rId6" Type="http://schemas.openxmlformats.org/officeDocument/2006/relationships/hyperlink" Target="http://cips.ferc.fed.us/Q/CIPS/RULES/RM/RM01-9.00B.TXT" TargetMode="External"/><Relationship Id="rId7" Type="http://schemas.openxmlformats.org/officeDocument/2006/relationships/hyperlink" Target="http://cips.ferc.fed.us/Q/CIPS/RULES/RM/RM01-11.000.TXT" TargetMode="External"/><Relationship Id="rId8" Type="http://schemas.openxmlformats.org/officeDocument/2006/relationships/hyperlink" Target="http://cips.ferc.fed.us/Q/CIPS/GAS/CP/CP01-90.00C.TXT" TargetMode="External"/><Relationship Id="rId9" Type="http://schemas.openxmlformats.org/officeDocument/2006/relationships/hyperlink" Target="http://cips.ferc.fed.us/Q/CIPS/GAS/CP/CP01-444.000.TXT" TargetMode="External"/><Relationship Id="rId10" Type="http://schemas.openxmlformats.org/officeDocument/2006/relationships/hyperlink" Target="http://cips.ferc.fed.us/Q/CIPS/GAS/CP/CP01-388.00B.TXT" TargetMode="External"/><Relationship Id="rId11" Type="http://schemas.openxmlformats.org/officeDocument/2006/relationships/footer" Target="footer1.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475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2001-09-28T11:38:00Z</dcterms:created>
  <dc:creator>jbutler</dc:creator>
  <dc:description/>
  <dc:language>en-CA</dc:language>
  <cp:lastModifiedBy>jbutler</cp:lastModifiedBy>
  <cp:lastPrinted>2001-09-28T17:12:00Z</cp:lastPrinted>
  <dcterms:modified xsi:type="dcterms:W3CDTF">2001-09-28T19:49:00Z</dcterms:modified>
  <cp:revision>11</cp:revision>
  <dc:subject/>
  <dc:title>General FERC Matters</dc:title>
</cp:coreProperties>
</file>