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ernhardMod BT" w:hAnsi="BernhardMod BT" w:eastAsia="BernhardMod BT" w:cs="BernhardMod BT"/>
          <w:b/>
          <w:bCs/>
          <w:i/>
          <w:i/>
          <w:iCs/>
          <w:sz w:val="26"/>
          <w:szCs w:val="26"/>
        </w:rPr>
      </w:pPr>
      <w:r>
        <w:rPr>
          <w:rFonts w:eastAsia="BernhardMod BT" w:cs="BernhardMod BT" w:ascii="BernhardMod BT" w:hAnsi="BernhardMod BT"/>
          <w:b/>
          <w:bCs/>
          <w:i/>
          <w:iCs/>
          <w:sz w:val="26"/>
          <w:szCs w:val="26"/>
        </w:rPr>
        <w:t>Promising Gas Options OII – I.99-07-003</w:t>
      </w:r>
    </w:p>
    <w:p>
      <w:pPr>
        <w:pStyle w:val="Normal"/>
        <w:spacing w:before="120" w:after="0"/>
        <w:jc w:val="center"/>
        <w:rPr>
          <w:rFonts w:ascii="Bookman Old Style" w:hAnsi="Bookman Old Style" w:eastAsia="Bookman Old Style" w:cs="Bookman Old Style"/>
          <w:b/>
          <w:bCs/>
        </w:rPr>
      </w:pPr>
      <w:r>
        <w:rPr>
          <w:rFonts w:eastAsia="Bookman Old Style" w:cs="Bookman Old Style" w:ascii="Bookman Old Style" w:hAnsi="Bookman Old Style"/>
          <w:b/>
          <w:bCs/>
        </w:rPr>
        <w:t>Summary of PG&amp;E’s Response to OFO Settlement Proposal</w:t>
        <w:br/>
        <w:t>from Parties dated September 15, 1999</w:t>
      </w:r>
    </w:p>
    <w:p>
      <w:pPr>
        <w:pStyle w:val="Normal"/>
        <w:rPr>
          <w:rFonts w:ascii="Bookman Old Style" w:hAnsi="Bookman Old Style" w:eastAsia="Bookman Old Style" w:cs="Bookman Old Style"/>
          <w:b/>
          <w:bCs/>
          <w:sz w:val="16"/>
          <w:szCs w:val="16"/>
        </w:rPr>
      </w:pPr>
      <w:r>
        <w:rPr>
          <w:rFonts w:eastAsia="Bookman Old Style" w:cs="Bookman Old Style" w:ascii="Bookman Old Style" w:hAnsi="Bookman Old Style"/>
          <w:b/>
          <w:bCs/>
          <w:sz w:val="16"/>
          <w:szCs w:val="16"/>
        </w:rPr>
      </w:r>
    </w:p>
    <w:p>
      <w:pPr>
        <w:pStyle w:val="Normal"/>
        <w:rPr>
          <w:sz w:val="16"/>
          <w:szCs w:val="16"/>
        </w:rPr>
      </w:pPr>
      <w:r>
        <w:rPr>
          <w:sz w:val="16"/>
          <w:szCs w:val="16"/>
        </w:rPr>
      </w:r>
    </w:p>
    <w:tbl>
      <w:tblPr>
        <w:tblW w:w="13968" w:type="dxa"/>
        <w:jc w:val="start"/>
        <w:tblInd w:w="0" w:type="dxa"/>
        <w:tblLayout w:type="fixed"/>
        <w:tblCellMar>
          <w:top w:w="0" w:type="dxa"/>
          <w:start w:w="108" w:type="dxa"/>
          <w:bottom w:w="0" w:type="dxa"/>
          <w:end w:w="108" w:type="dxa"/>
        </w:tblCellMar>
      </w:tblPr>
      <w:tblGrid>
        <w:gridCol w:w="2448"/>
        <w:gridCol w:w="5490"/>
        <w:gridCol w:w="6030"/>
      </w:tblGrid>
      <w:tr>
        <w:trPr>
          <w:tblHeader w:val="true"/>
        </w:trPr>
        <w:tc>
          <w:tcPr>
            <w:tcW w:w="2448" w:type="dxa"/>
            <w:tcBorders>
              <w:top w:val="single" w:sz="12" w:space="0" w:color="000000"/>
              <w:start w:val="single" w:sz="12" w:space="0" w:color="000000"/>
              <w:bottom w:val="single" w:sz="12" w:space="0" w:color="000000"/>
              <w:end w:val="dotted" w:sz="6" w:space="0" w:color="000000"/>
            </w:tcBorders>
          </w:tcPr>
          <w:p>
            <w:pPr>
              <w:pStyle w:val="Normal"/>
              <w:spacing w:before="60" w:after="0"/>
              <w:rPr/>
            </w:pPr>
            <w:r>
              <w:rPr>
                <w:b/>
                <w:bCs/>
                <w:sz w:val="22"/>
                <w:szCs w:val="22"/>
              </w:rPr>
              <w:t xml:space="preserve">Section </w:t>
            </w:r>
            <w:r>
              <w:rPr>
                <w:sz w:val="22"/>
                <w:szCs w:val="22"/>
              </w:rPr>
              <w:br/>
            </w:r>
            <w:r>
              <w:rPr>
                <w:sz w:val="18"/>
                <w:szCs w:val="18"/>
              </w:rPr>
              <w:t>(per PG&amp;E Response)</w:t>
            </w:r>
          </w:p>
        </w:tc>
        <w:tc>
          <w:tcPr>
            <w:tcW w:w="5490" w:type="dxa"/>
            <w:tcBorders>
              <w:top w:val="single" w:sz="12" w:space="0" w:color="000000"/>
              <w:start w:val="dotted" w:sz="6" w:space="0" w:color="000000"/>
              <w:bottom w:val="single" w:sz="12" w:space="0" w:color="000000"/>
              <w:end w:val="dotted" w:sz="6" w:space="0" w:color="000000"/>
            </w:tcBorders>
          </w:tcPr>
          <w:p>
            <w:pPr>
              <w:pStyle w:val="Normal"/>
              <w:spacing w:before="60" w:after="60"/>
              <w:rPr/>
            </w:pPr>
            <w:r>
              <w:rPr>
                <w:b/>
                <w:bCs/>
                <w:sz w:val="22"/>
                <w:szCs w:val="22"/>
              </w:rPr>
              <w:br/>
              <w:t>Agreements and Changes</w:t>
            </w:r>
          </w:p>
        </w:tc>
        <w:tc>
          <w:tcPr>
            <w:tcW w:w="6030" w:type="dxa"/>
            <w:tcBorders>
              <w:top w:val="single" w:sz="12" w:space="0" w:color="000000"/>
              <w:start w:val="dotted" w:sz="6" w:space="0" w:color="000000"/>
              <w:bottom w:val="single" w:sz="12" w:space="0" w:color="000000"/>
              <w:end w:val="single" w:sz="12" w:space="0" w:color="000000"/>
            </w:tcBorders>
          </w:tcPr>
          <w:p>
            <w:pPr>
              <w:pStyle w:val="Normal"/>
              <w:spacing w:before="60" w:after="60"/>
              <w:rPr/>
            </w:pPr>
            <w:r>
              <w:rPr>
                <w:b/>
                <w:bCs/>
                <w:sz w:val="22"/>
                <w:szCs w:val="22"/>
              </w:rPr>
              <w:br/>
              <w:t>Reasons for Changes</w:t>
            </w:r>
          </w:p>
        </w:tc>
      </w:tr>
      <w:tr>
        <w:trPr/>
        <w:tc>
          <w:tcPr>
            <w:tcW w:w="2448" w:type="dxa"/>
            <w:tcBorders>
              <w:top w:val="dashed" w:sz="6" w:space="0" w:color="auto"/>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A.  Introduction, and B.3  Forum</w:t>
            </w:r>
          </w:p>
        </w:tc>
        <w:tc>
          <w:tcPr>
            <w:tcW w:w="5490" w:type="dxa"/>
            <w:tcBorders>
              <w:top w:val="dashed" w:sz="6" w:space="0" w:color="auto"/>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 xml:space="preserve">Agree with no cost recovery for specific changes in this Settlement.  However, allow the possibility of cost recovery for items which may arise in the future from the Forum. </w:t>
            </w:r>
          </w:p>
        </w:tc>
        <w:tc>
          <w:tcPr>
            <w:tcW w:w="6030" w:type="dxa"/>
            <w:tcBorders>
              <w:top w:val="dashed" w:sz="6" w:space="0" w:color="auto"/>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PG&amp;E accepts no added cost recovery for the current, known provisions of the Settlement, but must keep open its rights to seek cost recovery for future – as yet unknown – requests for additional information, system changes, model changes and the like.</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B.  Forum</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with establishing a Forum to deal with OFO-related issues.  Add cost recovery section as described above, and move Quarterly Report requirement to the Operational Information section.</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C.1.b.  Posting Times for Operational Forecast Information</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to provide specific times by which the forecast data will be available.  Add caveat that if for some reason the forecast data is not available by the posting time, PG&amp;E will inform customers when the delayed posting time will be.</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Situations will occur when the data is not available.  However, PG&amp;E would like to establish realistic posting times that cover most all conditions.</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C.1.c.  Historical Operational Information</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with providing an archive of historical data for a two-week, not a three day, period.</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C.1.d.8.  Customer Class Data</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pPr>
            <w:r>
              <w:rPr>
                <w:sz w:val="22"/>
                <w:szCs w:val="22"/>
              </w:rPr>
              <w:t>Agree to provide day-after forecast of daily demand by customer class with a 3-day lag.</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C.1.d.5,9,10.  Added Operational Information</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with proposed data requests C.1.a.18 through 21 in Parties’ September 15 proposal, except for the second part of 21 which asks for “current month imbalance gas by customer class (3-day lag).”  These data requests moved to C.1.d because this data is not part of five-times-per-day forecast included under C.1.a.</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PG&amp;E is not willing to provide customer class data which will allow the market to estimate the imbalance position of PG&amp;E’s Core Procurement Department, since this may lead to higher gas costs for core customers.</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C.1.f.  Quarterly OFO Report Posting and Timing</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to provide an OFO report each quarter to show pipeline and customer imbalance data.  Make Quarterly OFO Report more widely available by posting on the Pipe Ranger Web site.  Adjust posting dates to align with calendar quarters and allow 30 days to prepare report.</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The report should be available to all market participants, not just the Settlement Parties.  Also, PG&amp;E prefers that the report be based on a calendar quarter and that PG&amp;E have 30 days to put the report together after the close of the quarter.</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C.1.f.  Quarterly OFO Report Content</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Adjust information provided in Quarterly OFO Report to add data which more fully identifies the factors that contribute to the operational imbalance on the pipeline and remove request for customer class designations.</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PG&amp;E has added more data to the Report so Parties have a complete picture of the imbalance situation for the three days prior to OFOs and other identified Events.  Customer class identification by balancing entity is not directly available, since a single balancing entity may be serving customers from different classes.  The listing of all these entities (with an identifying code to protect names) is a more accurate picture of contributors to pipeline imbalances than the previous customer class approximations.</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C.1.g.  Additional Information Requests</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with ability to request additional information during the Settlement period, but provide a period from the filing of the Settlement until twelve months following the effective date of the Settlement where Parties cannot request additional information related to the matters covered by this Settlement.</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The Commission expects the parties to reach an agreement on the information to be provided.  PG&amp;E interprets this as resolving these issues, including related information, in this case through the Settlement.  PG&amp;E is willing to revisit information requests through the Forum after some experience with the additional information and other provisions of this Settlement.</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C.3.b.(7).  Customer-Specific OFO Performance Factor</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with using a 100% customer-specific performance factor initially.  Allow PG&amp;E to change the customer-specific OFO performance factor on an operational basis, without having to go to the Settlement Parties or the Forum for approval prior to making such a change.  PG&amp;E will post the data and explanation supporting the change.</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PG&amp;E must have the operational flexibility to reflect the actual performance of targeted customers under a customer-specific OFO.  Having to get parties together to make such a decision will impede PG&amp;E’s ability to use customer-specific OFOs on a timely basis, which is one of the objectives of this Settlement.  PG&amp;E will analyze the results of each customer-specific OFO, and post this data along with any change in the performance factor in a timely manner.</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C.3.b.(9).  System-Wide instead of Customer-Specific OFO</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to post an explanation of why a system-wide OFO was called when conditions for a customer-specific OFO were met.</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C.3.proposed d.  Names of Significant Contributors to OFOs</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to not post names of balancing entities who contributed significantly to OFOs, and referring this issue to the Forum.</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Provision as proposed removed because already covered by list for Forum issues under B.2.b.</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C.5.e.(4).  Operating Imbalance Carryover</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 xml:space="preserve">Agree to provide an option for clearing Operating Imbalance Carryover if less than a certain quantity.  However, limit election to an annual choice. </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 xml:space="preserve">Allowing a monthly election causes considerable administrative overhead. </w:t>
            </w:r>
          </w:p>
        </w:tc>
      </w:tr>
      <w:tr>
        <w:trPr/>
        <w:tc>
          <w:tcPr>
            <w:tcW w:w="2448" w:type="dxa"/>
            <w:tcBorders>
              <w:top w:val="dotted" w:sz="6" w:space="0" w:color="000000"/>
              <w:start w:val="single" w:sz="12" w:space="0" w:color="000000"/>
              <w:bottom w:val="dotted" w:sz="6" w:space="0" w:color="000000"/>
              <w:end w:val="dotted" w:sz="6" w:space="0" w:color="000000"/>
            </w:tcBorders>
          </w:tcPr>
          <w:p>
            <w:pPr>
              <w:pStyle w:val="Normal"/>
              <w:spacing w:before="80" w:after="80"/>
              <w:ind w:hanging="288" w:start="288" w:end="0"/>
              <w:rPr>
                <w:sz w:val="22"/>
                <w:szCs w:val="22"/>
              </w:rPr>
            </w:pPr>
            <w:r>
              <w:rPr>
                <w:sz w:val="22"/>
                <w:szCs w:val="22"/>
              </w:rPr>
              <w:t>C.6.  Storage Allocated to Balancing</w:t>
            </w:r>
          </w:p>
        </w:tc>
        <w:tc>
          <w:tcPr>
            <w:tcW w:w="5490" w:type="dxa"/>
            <w:tcBorders>
              <w:top w:val="dotted" w:sz="6" w:space="0" w:color="000000"/>
              <w:start w:val="dotted" w:sz="6" w:space="0" w:color="000000"/>
              <w:bottom w:val="dotted" w:sz="6" w:space="0" w:color="000000"/>
              <w:end w:val="dotted" w:sz="6" w:space="0" w:color="000000"/>
            </w:tcBorders>
          </w:tcPr>
          <w:p>
            <w:pPr>
              <w:pStyle w:val="Normal"/>
              <w:spacing w:before="80" w:after="80"/>
              <w:ind w:start="288" w:end="0"/>
              <w:rPr>
                <w:sz w:val="22"/>
                <w:szCs w:val="22"/>
              </w:rPr>
            </w:pPr>
            <w:r>
              <w:rPr>
                <w:sz w:val="22"/>
                <w:szCs w:val="22"/>
              </w:rPr>
              <w:t>Agree to add this section back in and to provide a cost analysis for adding and/or allocating additional storage assets to system balancing.</w:t>
            </w:r>
          </w:p>
        </w:tc>
        <w:tc>
          <w:tcPr>
            <w:tcW w:w="6030" w:type="dxa"/>
            <w:tcBorders>
              <w:top w:val="dotted" w:sz="6" w:space="0" w:color="000000"/>
              <w:start w:val="dotted" w:sz="6" w:space="0" w:color="000000"/>
              <w:bottom w:val="dotted" w:sz="6" w:space="0" w:color="000000"/>
              <w:end w:val="single" w:sz="12" w:space="0" w:color="000000"/>
            </w:tcBorders>
          </w:tcPr>
          <w:p>
            <w:pPr>
              <w:pStyle w:val="Normal"/>
              <w:spacing w:before="80" w:after="80"/>
              <w:rPr>
                <w:sz w:val="22"/>
                <w:szCs w:val="22"/>
              </w:rPr>
            </w:pPr>
            <w:r>
              <w:rPr>
                <w:sz w:val="22"/>
                <w:szCs w:val="22"/>
              </w:rPr>
              <w:t>PG&amp;E supports this provision with the understanding that this issue will not be litigated as part of the OII docket, as well as the other provisions of this Settlement.</w:t>
            </w:r>
          </w:p>
        </w:tc>
      </w:tr>
      <w:tr>
        <w:trPr/>
        <w:tc>
          <w:tcPr>
            <w:tcW w:w="2448" w:type="dxa"/>
            <w:tcBorders>
              <w:top w:val="dotted" w:sz="6" w:space="0" w:color="000000"/>
              <w:start w:val="single" w:sz="12" w:space="0" w:color="000000"/>
              <w:bottom w:val="single" w:sz="12" w:space="0" w:color="000000"/>
              <w:end w:val="dotted" w:sz="6" w:space="0" w:color="000000"/>
            </w:tcBorders>
          </w:tcPr>
          <w:p>
            <w:pPr>
              <w:pStyle w:val="Normal"/>
              <w:spacing w:before="80" w:after="80"/>
              <w:ind w:hanging="288" w:start="288" w:end="0"/>
              <w:rPr>
                <w:sz w:val="22"/>
                <w:szCs w:val="22"/>
              </w:rPr>
            </w:pPr>
            <w:r>
              <w:rPr>
                <w:sz w:val="22"/>
                <w:szCs w:val="22"/>
              </w:rPr>
              <w:t>D.3.  Noncompliance Charge Exemption</w:t>
            </w:r>
          </w:p>
        </w:tc>
        <w:tc>
          <w:tcPr>
            <w:tcW w:w="5490" w:type="dxa"/>
            <w:tcBorders>
              <w:top w:val="dotted" w:sz="6" w:space="0" w:color="000000"/>
              <w:start w:val="dotted" w:sz="6" w:space="0" w:color="000000"/>
              <w:bottom w:val="single" w:sz="12" w:space="0" w:color="000000"/>
              <w:end w:val="dotted" w:sz="6" w:space="0" w:color="000000"/>
            </w:tcBorders>
          </w:tcPr>
          <w:p>
            <w:pPr>
              <w:pStyle w:val="Normal"/>
              <w:spacing w:before="80" w:after="80"/>
              <w:ind w:start="288" w:end="0"/>
              <w:rPr>
                <w:sz w:val="22"/>
                <w:szCs w:val="22"/>
              </w:rPr>
            </w:pPr>
            <w:r>
              <w:rPr>
                <w:sz w:val="22"/>
                <w:szCs w:val="22"/>
              </w:rPr>
              <w:t>Agree to the language revisions by the Parties and to the application of the exemption to the monthly noncompliance charges for each balancing entity, and not per each OFO.</w:t>
            </w:r>
          </w:p>
        </w:tc>
        <w:tc>
          <w:tcPr>
            <w:tcW w:w="6030" w:type="dxa"/>
            <w:tcBorders>
              <w:top w:val="dotted" w:sz="6" w:space="0" w:color="000000"/>
              <w:start w:val="dotted" w:sz="6" w:space="0" w:color="000000"/>
              <w:bottom w:val="single" w:sz="12" w:space="0" w:color="000000"/>
              <w:end w:val="single" w:sz="12" w:space="0" w:color="000000"/>
            </w:tcBorders>
          </w:tcPr>
          <w:p>
            <w:pPr>
              <w:pStyle w:val="Normal"/>
              <w:spacing w:before="80" w:after="80"/>
              <w:rPr>
                <w:sz w:val="22"/>
                <w:szCs w:val="22"/>
              </w:rPr>
            </w:pPr>
            <w:r>
              <w:rPr>
                <w:sz w:val="22"/>
                <w:szCs w:val="22"/>
              </w:rPr>
              <w:t>----</w:t>
            </w:r>
          </w:p>
        </w:tc>
      </w:tr>
    </w:tbl>
    <w:p>
      <w:pPr>
        <w:pStyle w:val="Normal"/>
        <w:rPr/>
      </w:pPr>
      <w:r>
        <w:rPr/>
      </w:r>
    </w:p>
    <w:sectPr>
      <w:headerReference w:type="default" r:id="rId2"/>
      <w:headerReference w:type="first" r:id="rId3"/>
      <w:footerReference w:type="default" r:id="rId4"/>
      <w:footerReference w:type="first" r:id="rId5"/>
      <w:type w:val="nextPage"/>
      <w:pgSz w:orient="landscape" w:w="15840" w:h="12240"/>
      <w:pgMar w:left="1008" w:right="1008" w:gutter="0" w:header="720" w:top="776" w:footer="72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Liberation Sans">
    <w:altName w:val="Arial"/>
    <w:charset w:val="01" w:characterSet="utf-8"/>
    <w:family w:val="swiss"/>
    <w:pitch w:val="variable"/>
  </w:font>
  <w:font w:name="Book Antiqua">
    <w:charset w:val="01"/>
    <w:family w:val="roman"/>
    <w:pitch w:val="variable"/>
  </w:font>
  <w:font w:name="Arial">
    <w:charset w:val="01"/>
    <w:family w:val="swiss"/>
    <w:pitch w:val="variable"/>
  </w:font>
  <w:font w:name="BernhardMod BT">
    <w:charset w:val="01"/>
    <w:family w:val="roman"/>
    <w:pitch w:val="variable"/>
  </w:font>
  <w:font w:name="Bookman Old Style">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6210" w:leader="none"/>
        <w:tab w:val="right" w:pos="8640" w:leader="none"/>
      </w:tabs>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114300" distR="114300" simplePos="0" locked="0" layoutInCell="0" allowOverlap="1" relativeHeight="4">
              <wp:simplePos x="0" y="0"/>
              <wp:positionH relativeFrom="page">
                <wp:posOffset>6054725</wp:posOffset>
              </wp:positionH>
              <wp:positionV relativeFrom="paragraph">
                <wp:posOffset>-635</wp:posOffset>
              </wp:positionV>
              <wp:extent cx="3371850" cy="438150"/>
              <wp:effectExtent l="0" t="0" r="0" b="0"/>
              <wp:wrapSquare wrapText="bothSides"/>
              <wp:docPr id="1" name="Frame2"/>
              <a:graphic xmlns:a="http://schemas.openxmlformats.org/drawingml/2006/main">
                <a:graphicData uri="http://schemas.microsoft.com/office/word/2010/wordprocessingShape">
                  <wps:wsp>
                    <wps:cNvSpPr txBox="1"/>
                    <wps:spPr>
                      <a:xfrm>
                        <a:off x="0" y="0"/>
                        <a:ext cx="3371850" cy="438150"/>
                      </a:xfrm>
                      <a:prstGeom prst="rect"/>
                      <a:solidFill>
                        <a:srgbClr val="FFFFFF">
                          <a:alpha val="0"/>
                        </a:srgbClr>
                      </a:solidFill>
                    </wps:spPr>
                    <wps:txbx>
                      <w:txbxContent>
                        <w:tbl>
                          <w:tblPr>
                            <w:tblW w:w="5310" w:type="dxa"/>
                            <w:jc w:val="start"/>
                            <w:tblInd w:w="10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65.5pt;height:34.5pt;mso-wrap-distance-left:9pt;mso-wrap-distance-right:9pt;mso-wrap-distance-top:0pt;mso-wrap-distance-bottom:0pt;margin-top:-0.05pt;mso-position-vertical-relative:text;margin-left:476.75pt;mso-position-horizontal-relative:page">
              <v:fill opacity="0f"/>
              <v:textbox inset="0in,0in,0in,0in">
                <w:txbxContent>
                  <w:tbl>
                    <w:tblPr>
                      <w:tblW w:w="5310" w:type="dxa"/>
                      <w:jc w:val="start"/>
                      <w:tblInd w:w="10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6210" w:leader="none"/>
        <w:tab w:val="right" w:pos="8640" w:leader="none"/>
      </w:tabs>
      <w:rPr/>
    </w:pPr>
    <w:r>
      <w:rPr/>
      <w:tab/>
      <w:t>Page 1</w:t>
    </w:r>
    <w:r>
      <mc:AlternateContent>
        <mc:Choice Requires="wps">
          <w:drawing>
            <wp:anchor behindDoc="0" distT="0" distB="0" distL="114300" distR="114300" simplePos="0" locked="0" layoutInCell="0" allowOverlap="1" relativeHeight="2">
              <wp:simplePos x="0" y="0"/>
              <wp:positionH relativeFrom="page">
                <wp:posOffset>6059805</wp:posOffset>
              </wp:positionH>
              <wp:positionV relativeFrom="paragraph">
                <wp:posOffset>-9525</wp:posOffset>
              </wp:positionV>
              <wp:extent cx="3371850" cy="438150"/>
              <wp:effectExtent l="0" t="0" r="0" b="0"/>
              <wp:wrapSquare wrapText="bothSides"/>
              <wp:docPr id="2" name="Frame1"/>
              <a:graphic xmlns:a="http://schemas.openxmlformats.org/drawingml/2006/main">
                <a:graphicData uri="http://schemas.microsoft.com/office/word/2010/wordprocessingShape">
                  <wps:wsp>
                    <wps:cNvSpPr txBox="1"/>
                    <wps:spPr>
                      <a:xfrm>
                        <a:off x="0" y="0"/>
                        <a:ext cx="3371850" cy="438150"/>
                      </a:xfrm>
                      <a:prstGeom prst="rect"/>
                      <a:solidFill>
                        <a:srgbClr val="FFFFFF">
                          <a:alpha val="0"/>
                        </a:srgbClr>
                      </a:solidFill>
                    </wps:spPr>
                    <wps:txbx>
                      <w:txbxContent>
                        <w:tbl>
                          <w:tblPr>
                            <w:tblW w:w="5310" w:type="dxa"/>
                            <w:jc w:val="start"/>
                            <w:tblInd w:w="10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65.5pt;height:34.5pt;mso-wrap-distance-left:9pt;mso-wrap-distance-right:9pt;mso-wrap-distance-top:0pt;mso-wrap-distance-bottom:0pt;margin-top:-0.75pt;mso-position-vertical-relative:text;margin-left:477.15pt;mso-position-horizontal-relative:page">
              <v:fill opacity="0f"/>
              <v:textbox inset="0in,0in,0in,0in">
                <w:txbxContent>
                  <w:tbl>
                    <w:tblPr>
                      <w:tblW w:w="5310" w:type="dxa"/>
                      <w:jc w:val="start"/>
                      <w:tblInd w:w="10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BernhardMod BT" w:hAnsi="BernhardMod BT" w:eastAsia="BernhardMod BT" w:cs="BernhardMod BT"/>
        <w:b/>
        <w:bCs/>
        <w:i/>
        <w:i/>
        <w:iCs/>
      </w:rPr>
    </w:pPr>
    <w:r>
      <w:rPr>
        <w:rFonts w:eastAsia="BernhardMod BT" w:cs="BernhardMod BT" w:ascii="BernhardMod BT" w:hAnsi="BernhardMod BT"/>
        <w:b/>
        <w:bCs/>
        <w:i/>
        <w:iCs/>
      </w:rPr>
      <w:t>Promising Gas Options OII – I.99-07-003</w:t>
    </w:r>
  </w:p>
  <w:p>
    <w:pPr>
      <w:pStyle w:val="Normal"/>
      <w:rPr>
        <w:rFonts w:ascii="Bookman Old Style" w:hAnsi="Bookman Old Style" w:eastAsia="Bookman Old Style" w:cs="Bookman Old Style"/>
        <w:b/>
        <w:bCs/>
      </w:rPr>
    </w:pPr>
    <w:r>
      <w:rPr>
        <w:rFonts w:eastAsia="Bookman Old Style" w:cs="Bookman Old Style" w:ascii="Bookman Old Style" w:hAnsi="Bookman Old Style"/>
        <w:b/>
        <w:bCs/>
      </w:rPr>
      <w:t>Summary of PG&amp;E’s Response to OFO Settlement Proposal</w:t>
      <w:br/>
      <w:t>from Parties dated September 15, 1999</w:t>
    </w:r>
  </w:p>
  <w:p>
    <w:pPr>
      <w:pStyle w:val="Header"/>
      <w:rPr>
        <w:rFonts w:ascii="Bookman Old Style" w:hAnsi="Bookman Old Style" w:eastAsia="Bookman Old Style" w:cs="Bookman Old Style"/>
        <w:b/>
        <w:bCs/>
      </w:rPr>
    </w:pPr>
    <w:r>
      <w:rPr>
        <w:rFonts w:eastAsia="Bookman Old Style" w:cs="Bookman Old Style" w:ascii="Bookman Old Style" w:hAnsi="Bookman Old Style"/>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ind w:hanging="432" w:start="432" w:end="0"/>
      <w:outlineLvl w:val="0"/>
    </w:pPr>
    <w:rPr>
      <w:rFonts w:ascii="Times New Roman Bold" w:hAnsi="Times New Roman Bold" w:eastAsia="Times New Roman Bold" w:cs="Times New Roman Bold"/>
      <w:b/>
      <w:bCs/>
      <w:kern w:val="2"/>
      <w:sz w:val="24"/>
      <w:szCs w:val="24"/>
    </w:rPr>
  </w:style>
  <w:style w:type="character" w:styleId="DefaultParagraphFont">
    <w:name w:val="Default Paragraph Font"/>
    <w:qFormat/>
    <w:rPr/>
  </w:style>
  <w:style w:type="character" w:styleId="PageNumber">
    <w:name w:val="page number"/>
    <w:basedOn w:val="DefaultParagraphFont"/>
    <w:rPr>
      <w:rFonts w:ascii="Times New Roman" w:hAnsi="Times New Roman" w:eastAsia="Times New Roman" w:cs="Times New Roman"/>
      <w:spacing w:val="0"/>
      <w:kern w:val="0"/>
      <w:position w:val="0"/>
      <w:sz w:val="24"/>
      <w:sz w:val="24"/>
      <w:szCs w:val="24"/>
      <w:vertAlign w:val="baseline"/>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ind w:hanging="432" w:start="432" w:end="0"/>
    </w:pPr>
    <w:rPr>
      <w:sz w:val="26"/>
      <w:szCs w:val="26"/>
    </w:rPr>
  </w:style>
  <w:style w:type="paragraph" w:styleId="Bullet2">
    <w:name w:val="Bullet 2"/>
    <w:basedOn w:val="Normal"/>
    <w:qFormat/>
    <w:pPr>
      <w:ind w:hanging="432" w:start="864" w:end="0"/>
    </w:pPr>
    <w:rPr>
      <w:sz w:val="26"/>
      <w:szCs w:val="26"/>
    </w:rPr>
  </w:style>
  <w:style w:type="paragraph" w:styleId="Bullet3">
    <w:name w:val="Bullet 3"/>
    <w:basedOn w:val="Normal"/>
    <w:qFormat/>
    <w:pPr>
      <w:ind w:hanging="432" w:start="1296" w:end="0"/>
    </w:pPr>
    <w:rPr>
      <w:sz w:val="26"/>
      <w:szCs w:val="26"/>
    </w:rPr>
  </w:style>
  <w:style w:type="paragraph" w:styleId="Indent1">
    <w:name w:val="Indent 1"/>
    <w:basedOn w:val="Normal"/>
    <w:qFormat/>
    <w:pPr>
      <w:ind w:hanging="0" w:start="432" w:end="0"/>
    </w:pPr>
    <w:rPr>
      <w:sz w:val="26"/>
      <w:szCs w:val="26"/>
    </w:rPr>
  </w:style>
  <w:style w:type="paragraph" w:styleId="Indent2">
    <w:name w:val="Indent 2"/>
    <w:basedOn w:val="Normal"/>
    <w:qFormat/>
    <w:pPr>
      <w:ind w:hanging="0" w:start="864" w:end="0"/>
    </w:pPr>
    <w:rPr>
      <w:sz w:val="26"/>
      <w:szCs w:val="26"/>
    </w:rPr>
  </w:style>
  <w:style w:type="paragraph" w:styleId="Indent3">
    <w:name w:val="Indent 3"/>
    <w:basedOn w:val="Normal"/>
    <w:qFormat/>
    <w:pPr>
      <w:ind w:hanging="0" w:start="1296" w:end="0"/>
    </w:pPr>
    <w:rPr>
      <w:sz w:val="26"/>
      <w:szCs w:val="26"/>
    </w:rPr>
  </w:style>
  <w:style w:type="paragraph" w:styleId="Bullet4">
    <w:name w:val="Bullet 4"/>
    <w:basedOn w:val="Normal"/>
    <w:qFormat/>
    <w:pPr>
      <w:ind w:hanging="432" w:start="1728" w:end="0"/>
    </w:pPr>
    <w:rPr>
      <w:sz w:val="26"/>
      <w:szCs w:val="26"/>
    </w:rPr>
  </w:style>
  <w:style w:type="paragraph" w:styleId="FootnoteText">
    <w:name w:val="footnote text"/>
    <w:basedOn w:val="Normal"/>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MyBodyText1">
    <w:name w:val="My Body Text 1"/>
    <w:basedOn w:val="Normal"/>
    <w:qFormat/>
    <w:pPr>
      <w:spacing w:before="240" w:after="0"/>
      <w:ind w:hanging="0" w:start="432" w:end="0"/>
    </w:pPr>
    <w:rPr/>
  </w:style>
  <w:style w:type="paragraph" w:styleId="MyBodyText2">
    <w:name w:val="My Body Text 2"/>
    <w:basedOn w:val="Normal"/>
    <w:qFormat/>
    <w:pPr>
      <w:spacing w:before="240" w:after="0"/>
      <w:ind w:hanging="0" w:start="864" w:end="0"/>
    </w:pPr>
    <w:rPr/>
  </w:style>
  <w:style w:type="paragraph" w:styleId="MyHeading1">
    <w:name w:val="My Heading 1"/>
    <w:basedOn w:val="Normal"/>
    <w:next w:val="MyBodyText1"/>
    <w:qFormat/>
    <w:pPr>
      <w:keepNext w:val="true"/>
      <w:ind w:hanging="432" w:start="432" w:end="0"/>
    </w:pPr>
    <w:rPr>
      <w:rFonts w:ascii="Times New Roman Bold" w:hAnsi="Times New Roman Bold" w:eastAsia="Times New Roman Bold" w:cs="Times New Roman Bold"/>
      <w:b/>
      <w:bCs/>
    </w:rPr>
  </w:style>
  <w:style w:type="paragraph" w:styleId="MyHeading2">
    <w:name w:val="My Heading 2"/>
    <w:basedOn w:val="Normal"/>
    <w:next w:val="MyBodyText2"/>
    <w:qFormat/>
    <w:pPr>
      <w:spacing w:before="120" w:after="0"/>
      <w:ind w:hanging="432" w:start="864" w:end="0"/>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ListBullet2">
    <w:name w:val="List Bullet 2"/>
    <w:basedOn w:val="Normal"/>
    <w:qFormat/>
    <w:pPr>
      <w:numPr>
        <w:ilvl w:val="0"/>
        <w:numId w:val="3"/>
      </w:numPr>
      <w:ind w:hanging="432" w:start="864" w:end="0"/>
    </w:pPr>
    <w:rPr/>
  </w:style>
  <w:style w:type="paragraph" w:styleId="ListNumber">
    <w:name w:val="List Number"/>
    <w:basedOn w:val="Normal"/>
    <w:qFormat/>
    <w:pPr>
      <w:numPr>
        <w:ilvl w:val="0"/>
        <w:numId w:val="4"/>
      </w:numPr>
      <w:ind w:hanging="432" w:start="432" w:end="0"/>
    </w:pPr>
    <w:rPr/>
  </w:style>
  <w:style w:type="paragraph" w:styleId="ListBullet3">
    <w:name w:val="List Bullet 3"/>
    <w:basedOn w:val="Normal"/>
    <w:qFormat/>
    <w:pPr>
      <w:numPr>
        <w:ilvl w:val="0"/>
        <w:numId w:val="5"/>
      </w:numPr>
      <w:ind w:hanging="432" w:start="1296" w:end="0"/>
    </w:pPr>
    <w:rPr/>
  </w:style>
  <w:style w:type="paragraph" w:styleId="ListBullet4">
    <w:name w:val="List Bullet 4"/>
    <w:basedOn w:val="Normal"/>
    <w:qFormat/>
    <w:pPr>
      <w:numPr>
        <w:ilvl w:val="0"/>
        <w:numId w:val="6"/>
      </w:numPr>
      <w:ind w:hanging="432" w:start="1728" w:end="0"/>
    </w:pPr>
    <w:rPr/>
  </w:style>
  <w:style w:type="paragraph" w:styleId="ListBullet5">
    <w:name w:val="List Bullet 5"/>
    <w:basedOn w:val="Normal"/>
    <w:qFormat/>
    <w:pPr>
      <w:numPr>
        <w:ilvl w:val="0"/>
        <w:numId w:val="7"/>
      </w:numPr>
      <w:ind w:hanging="432" w:start="2160" w:end="0"/>
    </w:pPr>
    <w:rPr>
      <w:sz w:val="22"/>
      <w:szCs w:val="22"/>
    </w:rPr>
  </w:style>
  <w:style w:type="paragraph" w:styleId="ListContinue">
    <w:name w:val="List Continue"/>
    <w:basedOn w:val="Normal"/>
    <w:qFormat/>
    <w:pPr>
      <w:spacing w:before="120" w:after="0"/>
      <w:ind w:hanging="0" w:start="432" w:end="0"/>
    </w:pPr>
    <w:rPr/>
  </w:style>
  <w:style w:type="paragraph" w:styleId="ListContinue2">
    <w:name w:val="List Continue 2"/>
    <w:basedOn w:val="Normal"/>
    <w:qFormat/>
    <w:pPr>
      <w:spacing w:before="120" w:after="0"/>
      <w:ind w:hanging="0" w:start="864" w:end="0"/>
    </w:pPr>
    <w:rPr/>
  </w:style>
  <w:style w:type="paragraph" w:styleId="ListContinue3">
    <w:name w:val="List Continue 3"/>
    <w:basedOn w:val="Normal"/>
    <w:qFormat/>
    <w:pPr>
      <w:spacing w:before="120" w:after="0"/>
      <w:ind w:hanging="0" w:start="1296" w:end="0"/>
    </w:pPr>
    <w:rPr/>
  </w:style>
  <w:style w:type="paragraph" w:styleId="ListContinue4">
    <w:name w:val="List Continue 4"/>
    <w:basedOn w:val="Normal"/>
    <w:qFormat/>
    <w:pPr>
      <w:spacing w:before="120" w:after="0"/>
      <w:ind w:hanging="0" w:start="1728" w:end="0"/>
    </w:pPr>
    <w:rPr/>
  </w:style>
  <w:style w:type="paragraph" w:styleId="ListContinue5">
    <w:name w:val="List Continue 5"/>
    <w:basedOn w:val="Normal"/>
    <w:qFormat/>
    <w:pPr>
      <w:spacing w:before="60" w:after="0"/>
      <w:ind w:hanging="0" w:start="2160" w:end="0"/>
    </w:pPr>
    <w:rPr>
      <w:sz w:val="22"/>
      <w:szCs w:val="22"/>
    </w:rPr>
  </w:style>
  <w:style w:type="paragraph" w:styleId="ListNumber2">
    <w:name w:val="List Number 2"/>
    <w:basedOn w:val="Normal"/>
    <w:qFormat/>
    <w:pPr>
      <w:numPr>
        <w:ilvl w:val="0"/>
        <w:numId w:val="8"/>
      </w:numPr>
      <w:ind w:hanging="432" w:start="864" w:end="0"/>
    </w:pPr>
    <w:rPr/>
  </w:style>
  <w:style w:type="paragraph" w:styleId="ListNumber3">
    <w:name w:val="List Number 3"/>
    <w:basedOn w:val="Normal"/>
    <w:qFormat/>
    <w:pPr>
      <w:numPr>
        <w:ilvl w:val="0"/>
        <w:numId w:val="9"/>
      </w:numPr>
      <w:ind w:hanging="432" w:start="1296" w:end="0"/>
    </w:pPr>
    <w:rPr/>
  </w:style>
  <w:style w:type="paragraph" w:styleId="ListNumber4">
    <w:name w:val="List Number 4"/>
    <w:basedOn w:val="Normal"/>
    <w:qFormat/>
    <w:pPr>
      <w:numPr>
        <w:ilvl w:val="0"/>
        <w:numId w:val="10"/>
      </w:numPr>
      <w:ind w:hanging="432" w:start="1728" w:end="0"/>
    </w:pPr>
    <w:rPr/>
  </w:style>
  <w:style w:type="paragraph" w:styleId="ListNumber5">
    <w:name w:val="List Number 5"/>
    <w:basedOn w:val="Normal"/>
    <w:qFormat/>
    <w:pPr>
      <w:numPr>
        <w:ilvl w:val="0"/>
        <w:numId w:val="11"/>
      </w:numPr>
      <w:ind w:hanging="432" w:start="2160" w:end="0"/>
    </w:pPr>
    <w:rPr>
      <w:sz w:val="22"/>
      <w:szCs w:val="22"/>
    </w:rPr>
  </w:style>
  <w:style w:type="paragraph" w:styleId="Level2">
    <w:name w:val="Level 2"/>
    <w:basedOn w:val="Normal"/>
    <w:next w:val="Normal"/>
    <w:qFormat/>
    <w:pPr>
      <w:suppressAutoHyphens w:val="true"/>
      <w:spacing w:lineRule="exact" w:line="200" w:before="0" w:after="200"/>
      <w:ind w:hanging="432" w:start="864" w:end="0"/>
    </w:pPr>
    <w:rPr>
      <w:rFonts w:ascii="Arial" w:hAnsi="Arial" w:eastAsia="Arial" w:cs="Arial"/>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6912" w:leader="none"/>
        <w:tab w:val="right" w:pos="13824" w:leader="none"/>
      </w:tabs>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1999-09-23T14:52:00Z</dcterms:created>
  <dc:creator>Geoff Bellenger</dc:creator>
  <dc:description/>
  <dc:language>en-CA</dc:language>
  <cp:lastModifiedBy>Geoff Bellenger</cp:lastModifiedBy>
  <cp:lastPrinted>1999-09-23T16:43:00Z</cp:lastPrinted>
  <dcterms:modified xsi:type="dcterms:W3CDTF">1999-09-23T21:35:00Z</dcterms:modified>
  <cp:revision>14</cp:revision>
  <dc:subject/>
  <dc:title>Promising Gas Options OII – I</dc:title>
</cp:coreProperties>
</file>