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w:t>
      </w:r>
    </w:p>
    <w:p>
      <w:pPr>
        <w:pStyle w:val="Normal"/>
        <w:jc w:val="center"/>
        <w:rPr/>
      </w:pPr>
      <w:r>
        <w:rPr/>
        <w:t>PUBLIC UTILITIES COMMISSION</w:t>
      </w:r>
    </w:p>
    <w:p>
      <w:pPr>
        <w:pStyle w:val="Normal"/>
        <w:jc w:val="center"/>
        <w:rPr/>
      </w:pPr>
      <w:r>
        <w:rPr/>
        <w:t>OF THE STATE OF CALIFORNIA</w:t>
      </w:r>
    </w:p>
    <w:p>
      <w:pPr>
        <w:pStyle w:val="Normal"/>
        <w:rPr/>
      </w:pPr>
      <w:r>
        <w:rPr/>
      </w:r>
    </w:p>
    <w:p>
      <w:pPr>
        <w:pStyle w:val="Norma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napToGrid w:val="false"/>
              <w:rPr/>
            </w:pPr>
            <w:r>
              <w:rPr/>
            </w:r>
          </w:p>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rPr/>
            </w:pPr>
            <w:r>
              <w:rPr/>
            </w:r>
          </w:p>
          <w:p>
            <w:pPr>
              <w:pStyle w:val="Normal"/>
              <w:tabs>
                <w:tab w:val="clear" w:pos="720"/>
                <w:tab w:val="left" w:pos="4410" w:leader="none"/>
              </w:tabs>
              <w:rPr/>
            </w:pPr>
            <w:r>
              <w:rPr/>
              <w:tab/>
              <w:t>U 39-G</w:t>
            </w:r>
          </w:p>
          <w:p>
            <w:pPr>
              <w:pStyle w:val="Normal"/>
              <w:tabs>
                <w:tab w:val="clear" w:pos="720"/>
                <w:tab w:val="left" w:pos="4410" w:leader="none"/>
              </w:tabs>
              <w:rPr/>
            </w:pPr>
            <w:r>
              <w:rPr/>
            </w:r>
          </w:p>
        </w:tc>
        <w:tc>
          <w:tcPr>
            <w:tcW w:w="270" w:type="dxa"/>
            <w:tcBorders>
              <w:start w:val="dashed" w:sz="6" w:space="0" w:color="auto"/>
            </w:tcBorders>
          </w:tcPr>
          <w:p>
            <w:pPr>
              <w:pStyle w:val="Normal"/>
              <w:tabs>
                <w:tab w:val="clear" w:pos="720"/>
                <w:tab w:val="left" w:pos="4410" w:leader="none"/>
              </w:tabs>
              <w:snapToGrid w:val="false"/>
              <w:rPr/>
            </w:pPr>
            <w:r>
              <w:rPr/>
            </w:r>
          </w:p>
        </w:tc>
        <w:tc>
          <w:tcPr>
            <w:tcW w:w="3528" w:type="dxa"/>
            <w:tcBorders>
              <w:start w:val="dashed" w:sz="6" w:space="0" w:color="auto"/>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tabs>
          <w:tab w:val="clear" w:pos="720"/>
          <w:tab w:val="left" w:pos="4410"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spacing w:lineRule="auto" w:line="240"/>
        <w:jc w:val="center"/>
        <w:rPr>
          <w:b/>
          <w:bCs/>
        </w:rPr>
      </w:pPr>
      <w:r>
        <w:rPr>
          <w:b/>
          <w:bCs/>
        </w:rPr>
        <w:t xml:space="preserve">JOINT MOTION PROPOSING ADOPTION OF </w:t>
      </w:r>
    </w:p>
    <w:p>
      <w:pPr>
        <w:pStyle w:val="Normal"/>
        <w:spacing w:lineRule="auto" w:line="240"/>
        <w:jc w:val="center"/>
        <w:rPr>
          <w:b/>
          <w:bCs/>
        </w:rPr>
      </w:pPr>
      <w:r>
        <w:rPr>
          <w:b/>
          <w:bCs/>
        </w:rPr>
        <w:t xml:space="preserve">SETTLEMENT OF OPERATIONAL FLOW ORDER PROTOCOL </w:t>
      </w:r>
    </w:p>
    <w:p>
      <w:pPr>
        <w:pStyle w:val="Normal"/>
        <w:spacing w:lineRule="auto" w:line="240"/>
        <w:jc w:val="center"/>
        <w:rPr/>
      </w:pPr>
      <w:r>
        <w:rPr>
          <w:b/>
          <w:bCs/>
        </w:rPr>
        <w:t>ON PACIFIC GAS AND ELECTRIC COMPANY’S GAS SYSTEM</w:t>
      </w:r>
      <w:r>
        <w:rPr/>
        <w:b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
          <w:i/>
          <w:iCs/>
        </w:rPr>
      </w:pPr>
      <w:r>
        <w:rPr>
          <w:i/>
          <w:iCs/>
        </w:rPr>
        <w:t>Other parties to be listed later</w:t>
      </w:r>
    </w:p>
    <w:p>
      <w:pPr>
        <w:pStyle w:val="Normal"/>
        <w:spacing w:lineRule="auto" w:line="240"/>
        <w:ind w:firstLine="360" w:start="3600" w:end="0"/>
        <w:rPr/>
      </w:pPr>
      <w:r>
        <w:rPr/>
        <w:t>Joshua Bar</w:t>
        <w:noBreakHyphen/>
        <w:t>Lev</w:t>
      </w:r>
    </w:p>
    <w:p>
      <w:pPr>
        <w:pStyle w:val="Normal"/>
        <w:spacing w:lineRule="auto" w:line="240"/>
        <w:ind w:firstLine="360" w:start="3600" w:end="0"/>
        <w:rPr/>
      </w:pPr>
      <w:r>
        <w:rPr/>
        <w:t>Patrick G. Golden</w:t>
      </w:r>
    </w:p>
    <w:p>
      <w:pPr>
        <w:pStyle w:val="Normal"/>
        <w:spacing w:lineRule="auto" w:line="240"/>
        <w:ind w:firstLine="360" w:start="3600" w:end="0"/>
        <w:rPr/>
      </w:pPr>
      <w:r>
        <w:rPr/>
        <w:t>Randall J. Litteneker</w:t>
      </w:r>
    </w:p>
    <w:p>
      <w:pPr>
        <w:pStyle w:val="Normal"/>
        <w:spacing w:lineRule="auto" w:line="240"/>
        <w:ind w:firstLine="360" w:start="3600" w:end="0"/>
        <w:rPr/>
      </w:pPr>
      <w:r>
        <w:rPr/>
        <w:t>Law Department</w:t>
      </w:r>
    </w:p>
    <w:p>
      <w:pPr>
        <w:pStyle w:val="Normal"/>
        <w:spacing w:lineRule="auto" w:line="240"/>
        <w:ind w:firstLine="360" w:start="3600" w:end="0"/>
        <w:rPr/>
      </w:pPr>
      <w:r>
        <w:rPr/>
        <w:t>PACIFIC GAS AND ELECTRIC COMPANY</w:t>
      </w:r>
    </w:p>
    <w:p>
      <w:pPr>
        <w:pStyle w:val="Normal"/>
        <w:spacing w:lineRule="auto" w:line="240"/>
        <w:ind w:firstLine="360" w:start="3600" w:end="0"/>
        <w:rPr/>
      </w:pPr>
      <w:r>
        <w:rPr/>
        <w:t>Post Office Box 7442</w:t>
      </w:r>
    </w:p>
    <w:p>
      <w:pPr>
        <w:pStyle w:val="Normal"/>
        <w:spacing w:lineRule="auto" w:line="240"/>
        <w:ind w:firstLine="360" w:start="3600" w:end="0"/>
        <w:rPr/>
      </w:pPr>
      <w:r>
        <w:rPr/>
        <w:t>San Francisco, California 94120</w:t>
      </w:r>
    </w:p>
    <w:p>
      <w:pPr>
        <w:pStyle w:val="Normal"/>
        <w:spacing w:lineRule="auto" w:line="240"/>
        <w:ind w:firstLine="360" w:start="3600" w:end="0"/>
        <w:rPr/>
      </w:pPr>
      <w:r>
        <w:rPr/>
        <w:t>Telephone:  (415) 973-6642</w:t>
      </w:r>
    </w:p>
    <w:p>
      <w:pPr>
        <w:pStyle w:val="Normal"/>
        <w:spacing w:lineRule="auto" w:line="240"/>
        <w:ind w:firstLine="360" w:start="3600" w:end="0"/>
        <w:rPr/>
      </w:pPr>
      <w:r>
        <w:rPr/>
        <w:t>Fax:  (415) 973-5520</w:t>
      </w:r>
    </w:p>
    <w:p>
      <w:pPr>
        <w:pStyle w:val="Normal"/>
        <w:spacing w:lineRule="auto" w:line="240"/>
        <w:ind w:firstLine="360" w:start="3600" w:end="0"/>
        <w:rPr/>
      </w:pPr>
      <w:r>
        <w:rPr/>
      </w:r>
    </w:p>
    <w:p>
      <w:pPr>
        <w:pStyle w:val="Normal"/>
        <w:spacing w:lineRule="auto" w:line="240"/>
        <w:ind w:firstLine="360" w:start="3600" w:end="0"/>
        <w:rPr/>
      </w:pPr>
      <w:r>
        <w:rPr/>
        <w:t>Attorneys for</w:t>
      </w:r>
    </w:p>
    <w:p>
      <w:pPr>
        <w:pStyle w:val="Normal"/>
        <w:spacing w:lineRule="auto" w:line="240"/>
        <w:ind w:firstLine="360" w:start="3600" w:end="0"/>
        <w:rPr/>
      </w:pPr>
      <w:r>
        <w:rPr/>
        <w:t>PACIFIC GAS AND ELECTRIC COMPANY</w:t>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008"/>
          <w:pgNumType w:start="1" w:fmt="decimal"/>
          <w:formProt w:val="false"/>
          <w:titlePg/>
          <w:textDirection w:val="lrTb"/>
        </w:sectPr>
        <w:pStyle w:val="Normal"/>
        <w:spacing w:lineRule="exact" w:line="249"/>
        <w:rPr/>
      </w:pPr>
      <w:r>
        <w:rPr/>
        <w:t>September ____, 1999</w:t>
      </w:r>
    </w:p>
    <w:p>
      <w:pPr>
        <w:pStyle w:val="Normal"/>
        <w:jc w:val="center"/>
        <w:rPr/>
      </w:pPr>
      <w:r>
        <w:rPr/>
        <w:t xml:space="preserve">BEFORE THE </w:t>
      </w:r>
    </w:p>
    <w:p>
      <w:pPr>
        <w:pStyle w:val="Normal"/>
        <w:jc w:val="center"/>
        <w:rPr/>
      </w:pPr>
      <w:r>
        <w:rPr/>
        <w:t>PUBLIC UTILITIES COMMISSION</w:t>
      </w:r>
    </w:p>
    <w:p>
      <w:pPr>
        <w:pStyle w:val="Normal"/>
        <w:jc w:val="center"/>
        <w:rPr/>
      </w:pPr>
      <w:r>
        <w:rPr/>
        <w:t>OF THE STATE OF CALIFORNIA</w:t>
      </w:r>
    </w:p>
    <w:p>
      <w:pPr>
        <w:pStyle w:val="Norma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napToGrid w:val="false"/>
              <w:rPr/>
            </w:pPr>
            <w:r>
              <w:rPr/>
            </w:r>
          </w:p>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rPr/>
            </w:pPr>
            <w:r>
              <w:rPr/>
            </w:r>
          </w:p>
          <w:p>
            <w:pPr>
              <w:pStyle w:val="Normal"/>
              <w:tabs>
                <w:tab w:val="clear" w:pos="720"/>
                <w:tab w:val="left" w:pos="4410" w:leader="none"/>
              </w:tabs>
              <w:rPr/>
            </w:pPr>
            <w:r>
              <w:rPr/>
              <w:tab/>
              <w:t>U 39-G</w:t>
            </w:r>
          </w:p>
          <w:p>
            <w:pPr>
              <w:pStyle w:val="Normal"/>
              <w:tabs>
                <w:tab w:val="clear" w:pos="720"/>
                <w:tab w:val="left" w:pos="4410" w:leader="none"/>
              </w:tabs>
              <w:rPr/>
            </w:pPr>
            <w:r>
              <w:rPr/>
            </w:r>
          </w:p>
        </w:tc>
        <w:tc>
          <w:tcPr>
            <w:tcW w:w="270" w:type="dxa"/>
            <w:tcBorders>
              <w:start w:val="dashed" w:sz="6" w:space="0" w:color="auto"/>
            </w:tcBorders>
          </w:tcPr>
          <w:p>
            <w:pPr>
              <w:pStyle w:val="Normal"/>
              <w:tabs>
                <w:tab w:val="clear" w:pos="720"/>
                <w:tab w:val="left" w:pos="4410" w:leader="none"/>
              </w:tabs>
              <w:snapToGrid w:val="false"/>
              <w:rPr/>
            </w:pPr>
            <w:r>
              <w:rPr/>
            </w:r>
          </w:p>
        </w:tc>
        <w:tc>
          <w:tcPr>
            <w:tcW w:w="3528" w:type="dxa"/>
            <w:tcBorders>
              <w:start w:val="dashed" w:sz="6" w:space="0" w:color="auto"/>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spacing w:lineRule="auto" w:line="240" w:before="420" w:after="0"/>
        <w:jc w:val="center"/>
        <w:rPr>
          <w:b/>
          <w:bCs/>
        </w:rPr>
      </w:pPr>
      <w:r>
        <w:rPr>
          <w:b/>
          <w:bCs/>
        </w:rPr>
        <w:t xml:space="preserve">JOINT MOTION PROPOSING ADOPTION OF </w:t>
      </w:r>
    </w:p>
    <w:p>
      <w:pPr>
        <w:pStyle w:val="Normal"/>
        <w:spacing w:lineRule="auto" w:line="240"/>
        <w:jc w:val="center"/>
        <w:rPr>
          <w:b/>
          <w:bCs/>
        </w:rPr>
      </w:pPr>
      <w:r>
        <w:rPr>
          <w:b/>
          <w:bCs/>
        </w:rPr>
        <w:t xml:space="preserve">SETTLEMENT OF OPERATIONAL FLOW ORDER PROTOCOL </w:t>
      </w:r>
    </w:p>
    <w:p>
      <w:pPr>
        <w:pStyle w:val="Normal"/>
        <w:jc w:val="center"/>
        <w:rPr>
          <w:b/>
          <w:bCs/>
        </w:rPr>
      </w:pPr>
      <w:r>
        <w:rPr>
          <w:b/>
          <w:bCs/>
        </w:rPr>
        <w:t>ON PACIFIC GAS AND ELECTRIC COMPANY’S GAS SYSTEM</w:t>
      </w:r>
    </w:p>
    <w:p>
      <w:pPr>
        <w:pStyle w:val="BodyText"/>
        <w:spacing w:before="180" w:after="0"/>
        <w:rPr/>
      </w:pPr>
      <w:r>
        <w:rPr/>
        <w:t>Pursuant to Rule 51 through 51.10 of the Rules of Practice and Procedure of the California Public Utilities Commission (CPUC or Commission), the July 8, 1999, “Order Identifying Promising Options for Further Study” (D.99</w:t>
        <w:noBreakHyphen/>
        <w:t>07</w:t>
        <w:noBreakHyphen/>
        <w:t>015), and the July 8, 1999, Order Instituting Investigation (OII 99</w:t>
        <w:noBreakHyphen/>
        <w:t>07</w:t>
        <w:noBreakHyphen/>
        <w:t>003), the undersigned parties (Settlement Parties) request that the Commission approve the October __, 1999, “Operational Flow Order (OFO) Settlement Agreement” (OFO Settlement), attached to this motion.</w:t>
      </w:r>
      <w:r>
        <w:rPr>
          <w:rStyle w:val="FootnoteCharacters"/>
          <w:rStyle w:val="FootnoteReference"/>
          <w:u w:val="single"/>
        </w:rPr>
        <w:footnoteReference w:id="2"/>
      </w:r>
      <w:r>
        <w:rPr>
          <w:vertAlign w:val="superscript"/>
        </w:rPr>
        <w:t>/</w:t>
      </w:r>
      <w:r>
        <w:rPr/>
        <w:t xml:space="preserve"> </w:t>
      </w:r>
    </w:p>
    <w:p>
      <w:pPr>
        <w:pStyle w:val="Heading1"/>
        <w:tabs>
          <w:tab w:val="clear" w:pos="720"/>
          <w:tab w:val="left" w:pos="0" w:leader="none"/>
        </w:tabs>
        <w:ind w:hanging="720" w:start="720"/>
        <w:rPr/>
      </w:pPr>
      <w:r>
        <w:rPr/>
        <w:t>BACKGROUND</w:t>
      </w:r>
    </w:p>
    <w:p>
      <w:pPr>
        <w:pStyle w:val="BodyText"/>
        <w:rPr/>
      </w:pPr>
      <w:r>
        <w:rPr/>
        <w:t>The amount of gas delivered to PG&amp;E’s system and taken off PG&amp;E’s system do not precisely match in any given time period.  Customer imbalances can offset each other, and most of the time, the system as a whole remains within operating tolerances.  For some days, however, the aggregate supply</w:t>
        <w:noBreakHyphen/>
        <w:t>demand imbalance for all shippers is forecasted to exceed safe operating limits.  When this happens, PG&amp;E may call an OFO.</w:t>
      </w:r>
    </w:p>
    <w:p>
      <w:pPr>
        <w:pStyle w:val="BodyText"/>
        <w:rPr/>
      </w:pPr>
      <w:r>
        <w:rPr/>
        <w:t>During the two weeks of panel</w:t>
        <w:noBreakHyphen/>
        <w:t>style hearings called by President Bilas and ALJ Weissman in Rulemaking 98</w:t>
        <w:noBreakHyphen/>
        <w:t>01</w:t>
        <w:noBreakHyphen/>
        <w:t>011, PG&amp;E’s use of OFOs was the subject of testimony and briefs.  Shippers expressed concern with the frequency of OFOs and the difficulty they experience in predicting when OFOs will be called.  Some shippers asserted that they must often take costly steps to correct imbalances, and a number of parties indicated a desire for more and better information about the status of PG&amp;E’s system to allow them to predict more intelligently when system constraints are likely to lead to an OFO.</w:t>
      </w:r>
    </w:p>
    <w:p>
      <w:pPr>
        <w:pStyle w:val="BodyText"/>
        <w:rPr/>
      </w:pPr>
      <w:r>
        <w:rPr/>
        <w:t xml:space="preserve">In light of these concerns, Settlement Parties have agreed on a number of changes to PG&amp;E’s OFO protocol, reflected in the tariffs attached to the Settlement.  In addition, Settlement Parties wish to memorialize PG&amp;E’s willingness to provide certain specified information which will assist customers in managing imbalances on the PG&amp;E system.  Taken together, these revisions are intended to achieve the following goals: </w:t>
      </w:r>
    </w:p>
    <w:p>
      <w:pPr>
        <w:pStyle w:val="BodyText"/>
        <w:numPr>
          <w:ilvl w:val="0"/>
          <w:numId w:val="2"/>
        </w:numPr>
        <w:tabs>
          <w:tab w:val="clear" w:pos="720"/>
          <w:tab w:val="left" w:pos="0" w:leader="none"/>
        </w:tabs>
        <w:ind w:hanging="1152" w:start="1872" w:end="0"/>
        <w:rPr/>
      </w:pPr>
      <w:r>
        <w:rPr/>
        <w:t>Improve market access to operational information necessary for the management of gas imbalances on PG&amp;E’s system.</w:t>
      </w:r>
    </w:p>
    <w:p>
      <w:pPr>
        <w:pStyle w:val="BodyText"/>
        <w:numPr>
          <w:ilvl w:val="0"/>
          <w:numId w:val="2"/>
        </w:numPr>
        <w:tabs>
          <w:tab w:val="clear" w:pos="720"/>
          <w:tab w:val="left" w:pos="0" w:leader="none"/>
        </w:tabs>
        <w:ind w:hanging="1152" w:start="1872" w:end="0"/>
        <w:rPr/>
      </w:pPr>
      <w:r>
        <w:rPr/>
        <w:t>Reduce the number of system</w:t>
        <w:noBreakHyphen/>
        <w:t>wide OFOs on the PG&amp;E system.</w:t>
      </w:r>
    </w:p>
    <w:p>
      <w:pPr>
        <w:pStyle w:val="BodyText"/>
        <w:numPr>
          <w:ilvl w:val="0"/>
          <w:numId w:val="2"/>
        </w:numPr>
        <w:tabs>
          <w:tab w:val="clear" w:pos="720"/>
          <w:tab w:val="left" w:pos="0" w:leader="none"/>
        </w:tabs>
        <w:ind w:hanging="1152" w:start="1872" w:end="0"/>
        <w:rPr/>
      </w:pPr>
      <w:r>
        <w:rPr/>
        <w:t>Reduce the impact of OFOs on the market.</w:t>
      </w:r>
    </w:p>
    <w:p>
      <w:pPr>
        <w:pStyle w:val="BodyText"/>
        <w:numPr>
          <w:ilvl w:val="0"/>
          <w:numId w:val="2"/>
        </w:numPr>
        <w:tabs>
          <w:tab w:val="clear" w:pos="720"/>
          <w:tab w:val="left" w:pos="0" w:leader="none"/>
        </w:tabs>
        <w:ind w:hanging="1152" w:start="1872" w:end="0"/>
        <w:rPr/>
      </w:pPr>
      <w:r>
        <w:rPr/>
        <w:t>Revise certain procedures implemented under the Gas Accord, in order to improve system operating efficiency, to clarify criteria used by PG&amp;E in making operational decisions, and to enhance customer interfaces with PG&amp;E’s gas operations.</w:t>
      </w:r>
    </w:p>
    <w:p>
      <w:pPr>
        <w:pStyle w:val="BodyText"/>
        <w:numPr>
          <w:ilvl w:val="0"/>
          <w:numId w:val="2"/>
        </w:numPr>
        <w:tabs>
          <w:tab w:val="clear" w:pos="720"/>
          <w:tab w:val="left" w:pos="0" w:leader="none"/>
        </w:tabs>
        <w:ind w:hanging="1152" w:start="1872" w:end="0"/>
        <w:rPr/>
      </w:pPr>
      <w:r>
        <w:rPr/>
        <w:t>Improve the transparency of operations to improve upon operational signals to the market.</w:t>
      </w:r>
    </w:p>
    <w:p>
      <w:pPr>
        <w:pStyle w:val="BodyText"/>
        <w:numPr>
          <w:ilvl w:val="0"/>
          <w:numId w:val="2"/>
        </w:numPr>
        <w:tabs>
          <w:tab w:val="clear" w:pos="720"/>
          <w:tab w:val="left" w:pos="0" w:leader="none"/>
        </w:tabs>
        <w:ind w:hanging="1152" w:start="1872" w:end="0"/>
        <w:rPr/>
      </w:pPr>
      <w:r>
        <w:rPr/>
        <w:t>Improve the ability of the market to foresee OFO events.</w:t>
      </w:r>
    </w:p>
    <w:p>
      <w:pPr>
        <w:pStyle w:val="BodyText"/>
        <w:numPr>
          <w:ilvl w:val="0"/>
          <w:numId w:val="2"/>
        </w:numPr>
        <w:tabs>
          <w:tab w:val="clear" w:pos="720"/>
          <w:tab w:val="left" w:pos="0" w:leader="none"/>
        </w:tabs>
        <w:ind w:hanging="1152" w:start="1872" w:end="0"/>
        <w:rPr/>
      </w:pPr>
      <w:r>
        <w:rPr/>
        <w:t>Maintain the OFO process as both a signal and incentive to the market to balance supply and demand.</w:t>
      </w:r>
    </w:p>
    <w:p>
      <w:pPr>
        <w:pStyle w:val="BodyText"/>
        <w:numPr>
          <w:ilvl w:val="0"/>
          <w:numId w:val="2"/>
        </w:numPr>
        <w:tabs>
          <w:tab w:val="clear" w:pos="720"/>
          <w:tab w:val="left" w:pos="0" w:leader="none"/>
        </w:tabs>
        <w:ind w:hanging="432" w:start="1872" w:end="0"/>
        <w:rPr/>
      </w:pPr>
      <w:r>
        <w:rPr/>
        <w:t>Resolve disputed issues and avoid the need to litigate these issues.</w:t>
      </w:r>
    </w:p>
    <w:p>
      <w:pPr>
        <w:pStyle w:val="Heading1"/>
        <w:tabs>
          <w:tab w:val="clear" w:pos="720"/>
          <w:tab w:val="left" w:pos="0" w:leader="none"/>
        </w:tabs>
        <w:ind w:hanging="720" w:start="720"/>
        <w:rPr/>
      </w:pPr>
      <w:r>
        <w:rPr/>
        <w:t>SUMMARY OF AGREEMENT</w:t>
      </w:r>
    </w:p>
    <w:p>
      <w:pPr>
        <w:pStyle w:val="Heading2"/>
        <w:tabs>
          <w:tab w:val="clear" w:pos="720"/>
          <w:tab w:val="left" w:pos="0" w:leader="none"/>
        </w:tabs>
        <w:ind w:hanging="1440" w:start="2160"/>
        <w:rPr/>
      </w:pPr>
      <w:r>
        <w:rPr/>
        <w:t>Forum for Resolving Future Balancing Issues</w:t>
      </w:r>
    </w:p>
    <w:p>
      <w:pPr>
        <w:pStyle w:val="BodyText"/>
        <w:rPr/>
      </w:pPr>
      <w:r>
        <w:rPr/>
        <w:t>The Settlement Parties intend to monitor the effectiveness of the OFO Settlement measures in reducing the number of OFOs and to address on an ongoing basis improvements and/or modifications to PG&amp;E’s balancing and OFO procedures.  To facilitate this goal, the OFO Settlement includes a provision creating a forum.  Any interested shipper on the PG&amp;E transmission system who may be subject to OFOs may choose to participate in this forum.  The Settlement parties intend to further explore a number of issues, including:  (1) the effectiveness of customer-specific OFOs; (2) possible improvements to the procedures outline in the OFO Settlement; (3) whether and how parties who significantly contribute to OFOs on a repeated basis should be identified; (4) whether the exemption for OFOs set forth in the OFO Settlement should be increased; (5) the need for the allocation of additional storage to balancing; (6) changing the cash</w:t>
        <w:noBreakHyphen/>
        <w:t>out procedures; (7) costs associated with any changes to the OFO Settlement; and (8) other related issues.</w:t>
      </w:r>
    </w:p>
    <w:p>
      <w:pPr>
        <w:pStyle w:val="Heading2"/>
        <w:tabs>
          <w:tab w:val="clear" w:pos="720"/>
          <w:tab w:val="left" w:pos="0" w:leader="none"/>
        </w:tabs>
        <w:ind w:hanging="1440" w:start="2160"/>
        <w:rPr/>
      </w:pPr>
      <w:r>
        <w:rPr/>
        <w:t>Provisions Designed To Reduce The Number Of OFOs</w:t>
      </w:r>
    </w:p>
    <w:p>
      <w:pPr>
        <w:pStyle w:val="BodyText"/>
        <w:rPr/>
      </w:pPr>
      <w:r>
        <w:rPr/>
        <w:t>As more fully set forth in the attached OFO Settlement, PG&amp;E agrees to provide a significant amount of information in its Pipe Ranger Web Site, including daily operational information, forecast information, historical data and other information.  PG&amp;E will also provide Settlement Parties data set forth in the OFO Settlement regarding the number and causes of OFO, Emergency Flow Orders (EFO), and occasions when PG&amp;E must “trim” deliveries of gas into its system.  The OFO Settlement resolves disputed issues concerning information needed by the market to analyze the status of PG&amp;E’s pipeline balancing service, to anticipate OFOs, and take corrective action to maintain balance between supply and demand.</w:t>
      </w:r>
    </w:p>
    <w:p>
      <w:pPr>
        <w:pStyle w:val="BodyText"/>
        <w:rPr/>
      </w:pPr>
      <w:r>
        <w:rPr/>
        <w:t>In addition, the OFO Settlement contains specific criteria which will be employed by PG&amp;E to call an OFO – including customer</w:t>
        <w:noBreakHyphen/>
        <w:t xml:space="preserve">specific OFOs, changes imbalance cashout prices in a manner which should reduce cashout imbalances, and affords more flexibility to those entities providing procurement services to core customers.  </w:t>
      </w:r>
    </w:p>
    <w:p>
      <w:pPr>
        <w:pStyle w:val="Heading2"/>
        <w:tabs>
          <w:tab w:val="clear" w:pos="720"/>
          <w:tab w:val="left" w:pos="0" w:leader="none"/>
        </w:tabs>
        <w:ind w:hanging="1440" w:start="2160"/>
        <w:rPr/>
      </w:pPr>
      <w:r>
        <w:rPr/>
        <w:t>Provisions Designed To Reduce The Impact Of OFOs</w:t>
      </w:r>
    </w:p>
    <w:p>
      <w:pPr>
        <w:pStyle w:val="BodyText"/>
        <w:rPr/>
      </w:pPr>
      <w:r>
        <w:rPr/>
        <w:t>In order to reduce the impact of OFOs, PG&amp;E will continue to provide notification to the market of system</w:t>
        <w:noBreakHyphen/>
        <w:t>wide and customer</w:t>
        <w:noBreakHyphen/>
        <w:t>specific OFOs as soon as practically possible.  PG&amp;E has also agreed to reduce the noncompliance charge of a Stage I OFO, subject to certain conditions set forth in the OFO Settlement.  Moreover, the OFO Settlement, subject to certain conditions, establishes an exemption from OFO noncompliance charges that allows those customers with small imbalances to avoid making supply or demand adjustments during an OFO, even if their imbalance as a percent of their demand is outside the allowable OFO tolerance band.</w:t>
      </w:r>
    </w:p>
    <w:p>
      <w:pPr>
        <w:pStyle w:val="Heading2"/>
        <w:tabs>
          <w:tab w:val="clear" w:pos="720"/>
          <w:tab w:val="left" w:pos="0" w:leader="none"/>
        </w:tabs>
        <w:ind w:hanging="1440" w:start="2160"/>
        <w:rPr/>
      </w:pPr>
      <w:r>
        <w:rPr/>
        <w:t>Term and Effective Date</w:t>
      </w:r>
    </w:p>
    <w:p>
      <w:pPr>
        <w:pStyle w:val="BodyText"/>
        <w:rPr/>
      </w:pPr>
      <w:r>
        <w:rPr/>
        <w:t>The OFO Settlement, including the revisions to the tariffs set forth in Appendix B, become effective on the first day of the month following the thirtieth day after the date of the Order approving the Agreement.</w:t>
      </w:r>
    </w:p>
    <w:p>
      <w:pPr>
        <w:pStyle w:val="Heading2"/>
        <w:tabs>
          <w:tab w:val="clear" w:pos="720"/>
          <w:tab w:val="left" w:pos="0" w:leader="none"/>
        </w:tabs>
        <w:ind w:hanging="1440" w:start="2160"/>
        <w:rPr/>
      </w:pPr>
      <w:r>
        <w:rPr/>
        <w:t>Appendices</w:t>
      </w:r>
    </w:p>
    <w:p>
      <w:pPr>
        <w:pStyle w:val="BodyText"/>
        <w:rPr/>
      </w:pPr>
      <w:r>
        <w:rPr/>
        <w:t>The following appendices are attached to this motion and are hereby incorporated by reference:</w:t>
      </w:r>
    </w:p>
    <w:p>
      <w:pPr>
        <w:pStyle w:val="BodyText"/>
        <w:numPr>
          <w:ilvl w:val="0"/>
          <w:numId w:val="3"/>
        </w:numPr>
        <w:tabs>
          <w:tab w:val="clear" w:pos="720"/>
          <w:tab w:val="left" w:pos="0" w:leader="none"/>
        </w:tabs>
        <w:ind w:hanging="1080" w:start="1800" w:end="0"/>
        <w:rPr/>
      </w:pPr>
      <w:r>
        <w:rPr/>
        <w:t>Appendix A:  The OFO Settlement Agreement</w:t>
      </w:r>
    </w:p>
    <w:p>
      <w:pPr>
        <w:pStyle w:val="BodyText"/>
        <w:numPr>
          <w:ilvl w:val="0"/>
          <w:numId w:val="3"/>
        </w:numPr>
        <w:tabs>
          <w:tab w:val="clear" w:pos="720"/>
          <w:tab w:val="left" w:pos="0" w:leader="none"/>
        </w:tabs>
        <w:ind w:hanging="360" w:start="1800" w:end="0"/>
        <w:rPr/>
      </w:pPr>
      <w:r>
        <w:rPr/>
        <w:t xml:space="preserve">Appendix B:  Revised Tariffs, which conform to and implement the OFO Settlement, including Schedule G-Bal, Imbalance Trading Form, Gas Rule 14, and Gas Tariff Table of Contents. </w:t>
      </w:r>
    </w:p>
    <w:p>
      <w:pPr>
        <w:pStyle w:val="Heading1"/>
        <w:tabs>
          <w:tab w:val="clear" w:pos="720"/>
          <w:tab w:val="left" w:pos="0" w:leader="none"/>
        </w:tabs>
        <w:ind w:hanging="720" w:start="720"/>
        <w:rPr/>
      </w:pPr>
      <w:r>
        <w:rPr/>
        <w:t>CONCLUSION and relief requested</w:t>
      </w:r>
    </w:p>
    <w:p>
      <w:pPr>
        <w:pStyle w:val="BodyText"/>
        <w:rPr/>
      </w:pPr>
      <w:r>
        <w:rPr/>
        <w:t>The undersigned parties request that the Commission expeditiously review and approve the OFO Settlement and accompanying revised tariffs and find that the settlement and tariffs constitute a just and reasonable approach to dealing with a number of issues of concern regarding PG&amp;E’s use of OFOs.</w:t>
      </w:r>
    </w:p>
    <w:p>
      <w:pPr>
        <w:pStyle w:val="BodyText"/>
        <w:ind w:hanging="1800" w:end="0"/>
        <w:rPr/>
      </w:pPr>
      <w:r>
        <w:rPr/>
        <w:tab/>
        <w:tab/>
        <w:tab/>
      </w:r>
      <w:r>
        <w:rPr>
          <w:i/>
          <w:iCs/>
        </w:rPr>
        <w:t>Other parties</w:t>
      </w:r>
    </w:p>
    <w:p>
      <w:pPr>
        <w:pStyle w:val="SingleSpacing"/>
        <w:tabs>
          <w:tab w:val="clear" w:pos="720"/>
          <w:tab w:val="right" w:pos="3600" w:leader="none"/>
        </w:tabs>
        <w:rPr/>
      </w:pPr>
      <w:r>
        <w:rPr/>
      </w:r>
    </w:p>
    <w:p>
      <w:pPr>
        <w:pStyle w:val="SingleSpacing"/>
        <w:tabs>
          <w:tab w:val="clear" w:pos="720"/>
          <w:tab w:val="right" w:pos="3600" w:leader="none"/>
        </w:tabs>
        <w:rPr/>
      </w:pPr>
      <w:r>
        <w:rPr/>
        <w:tab/>
        <w:tab/>
        <w:t>Respectfully submitted,</w:t>
      </w:r>
    </w:p>
    <w:p>
      <w:pPr>
        <w:pStyle w:val="SingleSpacing"/>
        <w:tabs>
          <w:tab w:val="clear" w:pos="720"/>
          <w:tab w:val="right" w:pos="3600" w:leader="none"/>
        </w:tabs>
        <w:rPr/>
      </w:pPr>
      <w:r>
        <w:rPr/>
      </w:r>
    </w:p>
    <w:p>
      <w:pPr>
        <w:pStyle w:val="SingleSpacing"/>
        <w:tabs>
          <w:tab w:val="clear" w:pos="720"/>
          <w:tab w:val="right" w:pos="3600" w:leader="none"/>
        </w:tabs>
        <w:rPr/>
      </w:pPr>
      <w:r>
        <w:rPr/>
        <w:tab/>
        <w:tab/>
        <w:t>JOSHUA BAR-LEV</w:t>
      </w:r>
    </w:p>
    <w:p>
      <w:pPr>
        <w:pStyle w:val="SingleSpacing"/>
        <w:tabs>
          <w:tab w:val="clear" w:pos="720"/>
          <w:tab w:val="right" w:pos="3600" w:leader="none"/>
        </w:tabs>
        <w:rPr/>
      </w:pPr>
      <w:r>
        <w:rPr/>
        <w:tab/>
        <w:tab/>
        <w:t>PATRICK G. GOLDEN</w:t>
      </w:r>
    </w:p>
    <w:p>
      <w:pPr>
        <w:pStyle w:val="SingleSpacing"/>
        <w:tabs>
          <w:tab w:val="clear" w:pos="720"/>
          <w:tab w:val="right" w:pos="3600" w:leader="none"/>
        </w:tabs>
        <w:rPr/>
      </w:pPr>
      <w:r>
        <w:rPr/>
        <w:tab/>
        <w:tab/>
        <w:t>RANDALL J. LITTENEKER</w:t>
      </w:r>
    </w:p>
    <w:p>
      <w:pPr>
        <w:pStyle w:val="SingleSpacing"/>
        <w:tabs>
          <w:tab w:val="clear" w:pos="720"/>
          <w:tab w:val="right" w:pos="3600" w:leader="none"/>
        </w:tabs>
        <w:rPr/>
      </w:pPr>
      <w:r>
        <w:rPr/>
      </w:r>
    </w:p>
    <w:p>
      <w:pPr>
        <w:pStyle w:val="SingleSpacing"/>
        <w:tabs>
          <w:tab w:val="clear" w:pos="720"/>
          <w:tab w:val="right" w:pos="3600" w:leader="none"/>
        </w:tabs>
        <w:rPr/>
      </w:pPr>
      <w:r>
        <w:rPr/>
      </w:r>
    </w:p>
    <w:p>
      <w:pPr>
        <w:pStyle w:val="SingleSpacing"/>
        <w:tabs>
          <w:tab w:val="clear" w:pos="720"/>
          <w:tab w:val="right" w:pos="3600" w:leader="none"/>
        </w:tabs>
        <w:rPr/>
      </w:pPr>
      <w:r>
        <w:rPr/>
      </w:r>
    </w:p>
    <w:p>
      <w:pPr>
        <w:pStyle w:val="SingleSpacing"/>
        <w:tabs>
          <w:tab w:val="clear" w:pos="720"/>
          <w:tab w:val="right" w:pos="3600" w:leader="none"/>
        </w:tabs>
        <w:rPr/>
      </w:pPr>
      <w:r>
        <w:rPr/>
        <w:tab/>
        <w:tab/>
        <w:t xml:space="preserve">By:  </w:t>
      </w:r>
      <w:r>
        <w:rPr>
          <w:u w:val="single"/>
        </w:rPr>
        <w:tab/>
        <w:tab/>
        <w:tab/>
        <w:tab/>
        <w:tab/>
        <w:tab/>
      </w:r>
    </w:p>
    <w:p>
      <w:pPr>
        <w:pStyle w:val="SingleSpacing"/>
        <w:tabs>
          <w:tab w:val="clear" w:pos="720"/>
          <w:tab w:val="right" w:pos="3600" w:leader="none"/>
        </w:tabs>
        <w:rPr/>
      </w:pPr>
      <w:r>
        <w:rPr/>
        <w:tab/>
        <w:tab/>
        <w:tab/>
      </w:r>
    </w:p>
    <w:p>
      <w:pPr>
        <w:pStyle w:val="SingleSpacing"/>
        <w:tabs>
          <w:tab w:val="clear" w:pos="720"/>
          <w:tab w:val="right" w:pos="3600" w:leader="none"/>
        </w:tabs>
        <w:spacing w:lineRule="exact" w:line="280"/>
        <w:rPr/>
      </w:pPr>
      <w:r>
        <w:rPr/>
        <w:tab/>
        <w:tab/>
        <w:t xml:space="preserve">Law Department </w:t>
      </w:r>
    </w:p>
    <w:p>
      <w:pPr>
        <w:pStyle w:val="SingleSpacing"/>
        <w:tabs>
          <w:tab w:val="clear" w:pos="720"/>
          <w:tab w:val="right" w:pos="3600" w:leader="none"/>
        </w:tabs>
        <w:spacing w:lineRule="exact" w:line="280"/>
        <w:rPr/>
      </w:pPr>
      <w:r>
        <w:rPr/>
        <w:tab/>
        <w:tab/>
        <w:t xml:space="preserve">PACIFIC GAS AND ELECTRIC COMPANY </w:t>
      </w:r>
    </w:p>
    <w:p>
      <w:pPr>
        <w:pStyle w:val="SingleSpacing"/>
        <w:tabs>
          <w:tab w:val="clear" w:pos="720"/>
          <w:tab w:val="right" w:pos="3600" w:leader="none"/>
        </w:tabs>
        <w:spacing w:lineRule="exact" w:line="280"/>
        <w:rPr/>
      </w:pPr>
      <w:r>
        <w:rPr/>
        <w:tab/>
        <w:tab/>
        <w:t>77 Beale Street, B30A</w:t>
      </w:r>
    </w:p>
    <w:p>
      <w:pPr>
        <w:pStyle w:val="SingleSpacing"/>
        <w:tabs>
          <w:tab w:val="clear" w:pos="720"/>
          <w:tab w:val="right" w:pos="3600" w:leader="none"/>
        </w:tabs>
        <w:spacing w:lineRule="exact" w:line="280"/>
        <w:rPr/>
      </w:pPr>
      <w:r>
        <w:rPr/>
        <w:tab/>
        <w:tab/>
        <w:t xml:space="preserve">San Francisco, CA  94105 </w:t>
      </w:r>
    </w:p>
    <w:p>
      <w:pPr>
        <w:pStyle w:val="SingleSpacing"/>
        <w:tabs>
          <w:tab w:val="clear" w:pos="720"/>
          <w:tab w:val="right" w:pos="3600" w:leader="none"/>
        </w:tabs>
        <w:spacing w:lineRule="exact" w:line="280"/>
        <w:rPr/>
      </w:pPr>
      <w:r>
        <w:rPr/>
        <w:tab/>
        <w:tab/>
        <w:t>Telephone:  (415) 973</w:t>
        <w:noBreakHyphen/>
        <w:t>6642</w:t>
      </w:r>
    </w:p>
    <w:p>
      <w:pPr>
        <w:pStyle w:val="SingleSpacing"/>
        <w:tabs>
          <w:tab w:val="clear" w:pos="720"/>
          <w:tab w:val="right" w:pos="3600" w:leader="none"/>
        </w:tabs>
        <w:rPr/>
      </w:pPr>
      <w:r>
        <w:rPr/>
      </w:r>
    </w:p>
    <w:p>
      <w:pPr>
        <w:pStyle w:val="SingleSpacing"/>
        <w:tabs>
          <w:tab w:val="clear" w:pos="720"/>
          <w:tab w:val="right" w:pos="3600" w:leader="none"/>
        </w:tabs>
        <w:rPr/>
      </w:pPr>
      <w:r>
        <w:rPr/>
        <w:tab/>
        <w:tab/>
        <w:t>Attorneys for</w:t>
      </w:r>
    </w:p>
    <w:p>
      <w:pPr>
        <w:pStyle w:val="SingleSpacing"/>
        <w:tabs>
          <w:tab w:val="clear" w:pos="720"/>
          <w:tab w:val="right" w:pos="3600" w:leader="none"/>
        </w:tabs>
        <w:rPr/>
      </w:pPr>
      <w:r>
        <w:rPr/>
        <w:tab/>
        <w:tab/>
        <w:t>PACIFIC GAS AND ELECTRIC COMPANY</w:t>
      </w:r>
    </w:p>
    <w:p>
      <w:pPr>
        <w:pStyle w:val="SingleSpacing"/>
        <w:tabs>
          <w:tab w:val="clear" w:pos="720"/>
          <w:tab w:val="right" w:pos="3600" w:leader="none"/>
        </w:tabs>
        <w:spacing w:before="360" w:after="0"/>
        <w:rPr/>
      </w:pPr>
      <w:r>
        <w:rPr/>
        <w:t>September ____, 1999</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605" w:gutter="0" w:header="0" w:top="1354" w:footer="576" w:bottom="1080"/>
          <w:pgNumType w:start="1" w:fmt="decimal"/>
          <w:formProt w:val="false"/>
          <w:textDirection w:val="lrTb"/>
        </w:sectPr>
        <w:pStyle w:val="Normal"/>
        <w:tabs>
          <w:tab w:val="clear" w:pos="720"/>
          <w:tab w:val="right" w:pos="3600" w:leader="none"/>
        </w:tabs>
        <w:spacing w:lineRule="exact" w:line="249"/>
        <w:rPr/>
      </w:pPr>
      <w:r>
        <w:rPr/>
      </w:r>
    </w:p>
    <w:p>
      <w:pPr>
        <w:pStyle w:val="Normal"/>
        <w:jc w:val="center"/>
        <w:rPr/>
      </w:pPr>
      <w:r>
        <w:rPr/>
        <w:t>PROOF OF SERVICE BY MAIL</w:t>
      </w:r>
    </w:p>
    <w:p>
      <w:pPr>
        <w:pStyle w:val="BodyText"/>
        <w:spacing w:before="120" w:after="0"/>
        <w:ind w:end="-450"/>
        <w:rPr/>
      </w:pPr>
      <w:r>
        <w:rPr/>
        <w:t>I, the undersigned, state that I am a citizen of the United States and employed in the City and County of San Francisco; that I am over the age of eighteen (18) years and not a party to the within cause; and that my business address is Pacific Gas and Electric Company, 77 Beale Street, San Francisco, California 94105.</w:t>
      </w:r>
    </w:p>
    <w:p>
      <w:pPr>
        <w:pStyle w:val="BodyText"/>
        <w:ind w:end="-450"/>
        <w:rPr/>
      </w:pPr>
      <w:r>
        <w:rPr/>
        <w:t>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BodyText"/>
        <w:ind w:end="-450"/>
        <w:rPr/>
      </w:pPr>
      <w:r>
        <w:rPr/>
        <w:t>On September ____, 1999, I caused to be served a true copy of:</w:t>
      </w:r>
    </w:p>
    <w:p>
      <w:pPr>
        <w:pStyle w:val="Normal"/>
        <w:ind w:end="-450"/>
        <w:jc w:val="center"/>
        <w:rPr/>
      </w:pPr>
      <w:r>
        <w:rPr/>
      </w:r>
    </w:p>
    <w:p>
      <w:pPr>
        <w:pStyle w:val="Normal"/>
        <w:spacing w:lineRule="auto" w:line="240"/>
        <w:jc w:val="center"/>
        <w:rPr>
          <w:b/>
          <w:bCs/>
        </w:rPr>
      </w:pPr>
      <w:r>
        <w:rPr>
          <w:b/>
          <w:bCs/>
        </w:rPr>
        <w:t xml:space="preserve">JOINT MOTION PROPOSING ADOPTION OF </w:t>
      </w:r>
    </w:p>
    <w:p>
      <w:pPr>
        <w:pStyle w:val="Normal"/>
        <w:spacing w:lineRule="auto" w:line="240"/>
        <w:jc w:val="center"/>
        <w:rPr>
          <w:b/>
          <w:bCs/>
        </w:rPr>
      </w:pPr>
      <w:r>
        <w:rPr>
          <w:b/>
          <w:bCs/>
        </w:rPr>
        <w:t xml:space="preserve">SETTLEMENT OF OPERATIONAL FLOW ORDER PROTOCOL </w:t>
      </w:r>
    </w:p>
    <w:p>
      <w:pPr>
        <w:pStyle w:val="Normal"/>
        <w:spacing w:before="0" w:after="120"/>
        <w:ind w:end="-450"/>
        <w:jc w:val="center"/>
        <w:rPr/>
      </w:pPr>
      <w:r>
        <w:rPr>
          <w:b/>
          <w:bCs/>
        </w:rPr>
        <w:t>ON PACIFIC GAS AND ELECTRIC COMPANY’S GAS SYSTEM</w:t>
      </w:r>
      <w:r>
        <w:rPr/>
        <w:br/>
      </w:r>
    </w:p>
    <w:p>
      <w:pPr>
        <w:pStyle w:val="BodyText"/>
        <w:ind w:hanging="0" w:end="-446"/>
        <w:rPr/>
      </w:pPr>
      <w:r>
        <w:rPr/>
        <w:t>by placing it for collection and mailing, in the course of ordinary business practice, with other correspondence of Pacific Gas and Electric Company, on September ____, 1999, enclosed in a sealed envelope, with postage fully prepaid, addressed to:</w:t>
      </w:r>
    </w:p>
    <w:p>
      <w:pPr>
        <w:pStyle w:val="BodyText"/>
        <w:ind w:hanging="0" w:end="-450"/>
        <w:jc w:val="center"/>
        <w:rPr/>
      </w:pPr>
      <w:r>
        <w:rPr/>
        <w:t>All Parties in _______________________</w:t>
      </w:r>
    </w:p>
    <w:p>
      <w:pPr>
        <w:pStyle w:val="BodyText"/>
        <w:ind w:end="-450"/>
        <w:rPr/>
      </w:pPr>
      <w:r>
        <w:rPr/>
        <w:t>I certify and declare under penalty of perjury under the laws of the State of California that the foregoing is true and correct.</w:t>
      </w:r>
    </w:p>
    <w:p>
      <w:pPr>
        <w:pStyle w:val="BodyText"/>
        <w:ind w:end="-450"/>
        <w:rPr/>
      </w:pPr>
      <w:r>
        <w:rPr/>
        <w:t>Executed on September ____, 1999.</w:t>
      </w:r>
    </w:p>
    <w:p>
      <w:pPr>
        <w:pStyle w:val="Normal"/>
        <w:ind w:end="-450"/>
        <w:rPr/>
      </w:pPr>
      <w:r>
        <w:rPr/>
      </w:r>
    </w:p>
    <w:p>
      <w:pPr>
        <w:pStyle w:val="Normal"/>
        <w:ind w:end="-450"/>
        <w:rPr/>
      </w:pPr>
      <w:r>
        <w:rPr/>
      </w:r>
    </w:p>
    <w:p>
      <w:pPr>
        <w:pStyle w:val="SingleSpacing"/>
        <w:ind w:end="-450"/>
        <w:rPr/>
      </w:pPr>
      <w:r>
        <w:rPr/>
        <w:tab/>
        <w:tab/>
        <w:tab/>
        <w:tab/>
        <w:tab/>
        <w:tab/>
      </w:r>
      <w:r>
        <w:rPr>
          <w:u w:val="single"/>
        </w:rPr>
        <w:tab/>
        <w:tab/>
        <w:tab/>
        <w:tab/>
        <w:tab/>
        <w:tab/>
      </w:r>
    </w:p>
    <w:p>
      <w:pPr>
        <w:sectPr>
          <w:headerReference w:type="default" r:id="rId10"/>
          <w:footerReference w:type="default" r:id="rId11"/>
          <w:footerReference w:type="first" r:id="rId12"/>
          <w:footnotePr>
            <w:numFmt w:val="decimal"/>
          </w:footnotePr>
          <w:type w:val="nextPage"/>
          <w:pgSz w:w="12240" w:h="15840"/>
          <w:pgMar w:left="1440" w:right="1440" w:gutter="0" w:header="432" w:top="1296" w:footer="576" w:bottom="1080"/>
          <w:pgNumType w:start="1" w:fmt="decimal"/>
          <w:formProt w:val="false"/>
          <w:textDirection w:val="lrTb"/>
        </w:sectPr>
        <w:pStyle w:val="Normal"/>
        <w:spacing w:lineRule="exact" w:line="249"/>
        <w:ind w:end="-450"/>
        <w:rPr/>
      </w:pPr>
      <w:r>
        <w:rPr/>
        <w:tab/>
        <w:tab/>
        <w:tab/>
        <w:tab/>
        <w:tab/>
        <w:tab/>
      </w:r>
      <w:r>
        <w:rPr>
          <w:vertAlign w:val="superscript"/>
        </w:rPr>
        <w:t xml:space="preserve">  </w:t>
      </w:r>
      <w:r>
        <w:rPr/>
        <w:t xml:space="preserve">  </w:t>
        <w:tab/>
        <w:t xml:space="preserve">      STEPHANIE LOUIE</w:t>
      </w:r>
    </w:p>
    <w:p>
      <w:pPr>
        <w:pStyle w:val="TOC1"/>
        <w:spacing w:before="240" w:after="240"/>
        <w:rPr>
          <w:lang w:val="en-CA"/>
        </w:rPr>
      </w:pPr>
      <w:bookmarkStart w:id="1" w:name="TOC"/>
      <w:bookmarkEnd w:id="1"/>
      <w:r>
        <w:rPr>
          <w:lang w:val="en-CA"/>
        </w:rPr>
        <w:t>I.</w:t>
        <w:tab/>
        <w:t>BACKGROUND</w:t>
        <w:tab/>
        <w:t>1</w:t>
      </w:r>
    </w:p>
    <w:p>
      <w:pPr>
        <w:pStyle w:val="TOC1"/>
        <w:spacing w:before="240" w:after="240"/>
        <w:rPr>
          <w:lang w:val="en-CA"/>
        </w:rPr>
      </w:pPr>
      <w:r>
        <w:rPr>
          <w:lang w:val="en-CA"/>
        </w:rPr>
        <w:t>II.</w:t>
        <w:tab/>
        <w:t>SUMMARY OF AGREEMENT</w:t>
        <w:tab/>
        <w:t>3</w:t>
      </w:r>
    </w:p>
    <w:p>
      <w:pPr>
        <w:pStyle w:val="TOC2"/>
        <w:spacing w:before="240" w:after="240"/>
        <w:rPr>
          <w:lang w:val="en-CA"/>
        </w:rPr>
      </w:pPr>
      <w:r>
        <w:rPr>
          <w:lang w:val="en-CA"/>
        </w:rPr>
        <w:t>A.</w:t>
        <w:tab/>
        <w:t>Provisions Designed To Reduce The Number Of OFOs</w:t>
        <w:tab/>
        <w:t>3</w:t>
      </w:r>
    </w:p>
    <w:p>
      <w:pPr>
        <w:pStyle w:val="TOC2"/>
        <w:spacing w:before="240" w:after="240"/>
        <w:rPr>
          <w:lang w:val="en-CA"/>
        </w:rPr>
      </w:pPr>
      <w:r>
        <w:rPr>
          <w:lang w:val="en-CA"/>
        </w:rPr>
        <w:t>B.</w:t>
        <w:tab/>
        <w:t>Provisions Designed To Reduce The Impact Of OFOs</w:t>
        <w:tab/>
        <w:t>3</w:t>
      </w:r>
    </w:p>
    <w:p>
      <w:pPr>
        <w:pStyle w:val="TOC2"/>
        <w:spacing w:before="240" w:after="240"/>
        <w:rPr>
          <w:lang w:val="en-CA"/>
        </w:rPr>
      </w:pPr>
      <w:r>
        <w:rPr>
          <w:lang w:val="en-CA"/>
        </w:rPr>
        <w:t>C.</w:t>
        <w:tab/>
        <w:t>Forum for Resolving Future Balancing Issues</w:t>
        <w:tab/>
        <w:t>3</w:t>
      </w:r>
    </w:p>
    <w:p>
      <w:pPr>
        <w:pStyle w:val="TOC2"/>
        <w:spacing w:before="240" w:after="240"/>
        <w:rPr>
          <w:lang w:val="en-CA"/>
        </w:rPr>
      </w:pPr>
      <w:r>
        <w:rPr>
          <w:lang w:val="en-CA"/>
        </w:rPr>
        <w:t>D.</w:t>
        <w:tab/>
        <w:t>Term and Effective Date</w:t>
        <w:tab/>
        <w:t>4</w:t>
      </w:r>
    </w:p>
    <w:p>
      <w:pPr>
        <w:pStyle w:val="TOC2"/>
        <w:spacing w:before="240" w:after="240"/>
        <w:rPr>
          <w:lang w:val="en-CA"/>
        </w:rPr>
      </w:pPr>
      <w:r>
        <w:rPr>
          <w:lang w:val="en-CA"/>
        </w:rPr>
        <w:t>E.</w:t>
        <w:tab/>
        <w:t>Appendices</w:t>
        <w:tab/>
        <w:t>4</w:t>
      </w:r>
    </w:p>
    <w:p>
      <w:pPr>
        <w:sectPr>
          <w:headerReference w:type="default" r:id="rId13"/>
          <w:headerReference w:type="first" r:id="rId14"/>
          <w:footerReference w:type="default" r:id="rId15"/>
          <w:footerReference w:type="first" r:id="rId16"/>
          <w:footnotePr>
            <w:numFmt w:val="decimal"/>
          </w:footnotePr>
          <w:type w:val="nextPage"/>
          <w:pgSz w:w="12240" w:h="15840"/>
          <w:pgMar w:left="1800" w:right="605" w:gutter="0" w:header="288" w:top="2016" w:footer="576" w:bottom="1080"/>
          <w:pgNumType w:start="1" w:fmt="decimal"/>
          <w:formProt w:val="false"/>
          <w:titlePg/>
          <w:textDirection w:val="lrTb"/>
        </w:sectPr>
        <w:pStyle w:val="TOC1"/>
        <w:spacing w:before="240" w:after="240"/>
        <w:rPr>
          <w:lang w:val="en-CA"/>
        </w:rPr>
      </w:pPr>
      <w:r>
        <w:rPr>
          <w:lang w:val="en-CA"/>
        </w:rPr>
        <w:t>III.</w:t>
        <w:tab/>
        <w:t>CONCLUSION AND RELIEF REQUESTED</w:t>
        <w:tab/>
        <w:t>4</w:t>
      </w:r>
    </w:p>
    <w:p>
      <w:pPr>
        <w:pStyle w:val="Normal"/>
        <w:jc w:val="end"/>
        <w:rPr>
          <w:smallCaps/>
        </w:rPr>
      </w:pPr>
      <w:bookmarkStart w:id="2" w:name="TOC"/>
      <w:bookmarkEnd w:id="2"/>
      <w:r>
        <w:rPr>
          <w:smallCaps/>
        </w:rPr>
        <w:t>Page(s)</w:t>
      </w:r>
    </w:p>
    <w:p>
      <w:pPr>
        <w:pStyle w:val="Normal"/>
        <w:rPr>
          <w:smallCaps/>
        </w:rPr>
      </w:pPr>
      <w:r>
        <w:rPr>
          <w:smallCaps/>
        </w:rPr>
      </w:r>
    </w:p>
    <w:p>
      <w:pPr>
        <w:pStyle w:val="BodyText"/>
        <w:ind w:hanging="0" w:end="0"/>
        <w:rPr/>
      </w:pPr>
      <w:r>
        <w:rPr/>
        <w:t>Please do not delete any of the above “end of section” breaks!</w:t>
      </w:r>
    </w:p>
    <w:p>
      <w:pPr>
        <w:pStyle w:val="BodyText"/>
        <w:spacing w:lineRule="exact" w:line="240"/>
        <w:ind w:hanging="0" w:end="0"/>
        <w:rPr>
          <w:u w:val="single"/>
        </w:rPr>
      </w:pPr>
      <w:r>
        <w:rPr>
          <w:u w:val="single"/>
        </w:rPr>
      </w:r>
    </w:p>
    <w:sectPr>
      <w:headerReference w:type="default" r:id="rId17"/>
      <w:headerReference w:type="first" r:id="rId18"/>
      <w:footerReference w:type="default" r:id="rId19"/>
      <w:footerReference w:type="first" r:id="rId20"/>
      <w:footnotePr>
        <w:numFmt w:val="decimal"/>
      </w:footnotePr>
      <w:type w:val="nextPage"/>
      <w:pgSz w:w="12240" w:h="15840"/>
      <w:pgMar w:left="1800" w:right="605" w:gutter="0" w:header="288" w:top="2016" w:footer="576" w:bottom="1080"/>
      <w:pgNumType w:start="2" w:fmt="lowerRoman"/>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ii</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Fonts w:eastAsia="Times New Roman" w:cs="Times New Roman"/>
      </w:rPr>
      <w:fldChar w:fldCharType="begin"/>
    </w:r>
    <w:r>
      <w:rPr>
        <w:rStyle w:val="PageNumber"/>
        <w:rFonts w:eastAsia="Times New Roman" w:cs="Times New Roman"/>
      </w:rPr>
      <w:instrText xml:space="preserve"> PAGE </w:instrText>
    </w:r>
    <w:r>
      <w:rPr>
        <w:rStyle w:val="PageNumber"/>
        <w:rFonts w:eastAsia="Times New Roman" w:cs="Times New Roman"/>
      </w:rPr>
      <w:fldChar w:fldCharType="separate"/>
    </w:r>
    <w:r>
      <w:rPr>
        <w:rStyle w:val="PageNumber"/>
        <w:rFonts w:eastAsia="Times New Roman" w:cs="Times New Roman"/>
      </w:rPr>
      <w:t>5</w:t>
    </w:r>
    <w:r>
      <w:rPr>
        <w:rStyle w:val="PageNumber"/>
        <w:rFonts w:eastAsia="Times New Roman" w:cs="Times New Roman"/>
      </w:rPr>
      <w:fldChar w:fldCharType="end"/>
    </w:r>
    <w:r>
      <w:rPr>
        <w:rStyle w:val="PageNumber"/>
        <w:rFonts w:eastAsia="Times New Roman" w:cs="Times New Roman"/>
      </w:rPr>
      <w:t xml:space="preserve"> -</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w:t>
    </w:r>
    <w:r>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vertAlign w:val="superscript"/>
        </w:rPr>
        <w:t>/</w:t>
      </w:r>
      <w:r>
        <w:rPr/>
        <w:tab/>
        <w:t>Rule 51.1, subd. c provides, in pertinent part:  “Parties may by written motion propose stipulations or settlements for adoption by the Commission in accordance with this article.  The motion shall contain a statement of the factual and legal considerations adequate to advise the Commission and parties not expressly joining the agreement of its scope and of the grounds on which adoption is urged.”</w:t>
      </w:r>
    </w:p>
    <w:p>
      <w:pPr>
        <w:pStyle w:val="FootnoteText"/>
        <w:spacing w:lineRule="exact" w:line="240" w:before="0" w:after="120"/>
        <w:ind w:hanging="432" w:start="432" w:end="0"/>
        <w:rPr/>
      </w:pPr>
      <w:r>
        <w:rPr/>
        <w:tab/>
        <w:t xml:space="preserve">Nothing contained in the settlement or this motion is intended to be, or is, an admission by any party with respect to any matter of law or fact.  Pursuant to Rule 51.9, if this Settlement is not adopted by the Commission, nothing contained in the settlement or this motion shall be admissible into evidence in any other proceeding or action.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lineRule="exact" w:line="480" w:before="720" w:after="0"/>
            <w:ind w:hanging="0" w:start="0" w:end="144"/>
            <w:jc w:val="end"/>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jc w:val="end"/>
            <w:rPr>
              <w:rFonts w:ascii="Times New Roman" w:hAnsi="Times New Roman" w:eastAsia="Times New Roman" w:cs="Times New Roman"/>
              <w:sz w:val="16"/>
              <w:szCs w:val="16"/>
            </w:rPr>
          </w:pPr>
          <w:r>
            <w:rPr>
              <w:rFonts w:eastAsia="Times New Roman" w:cs="Times New Roman" w:ascii="Times New Roman" w:hAnsi="Times New Roman"/>
              <w:sz w:val="16"/>
              <w:szCs w:val="16"/>
            </w:rPr>
            <w:t>DRAFT  4 C:\DATA\PGG\OII\P\OFO-MOT.DOC</w:t>
          </w:r>
        </w:p>
      </w:tc>
      <w:tc>
        <w:tcPr>
          <w:tcW w:w="10210" w:type="dxa"/>
          <w:tcBorders>
            <w:end w:val="single" w:sz="6" w:space="0" w:color="000000"/>
          </w:tcBorders>
        </w:tcPr>
        <w:p>
          <w:pPr>
            <w:pStyle w:val="Normal"/>
            <w:snapToGrid w:val="false"/>
            <w:rPr>
              <w:rFonts w:ascii="Times New Roman" w:hAnsi="Times New Roman" w:eastAsia="Times New Roman" w:cs="Times New Roman"/>
              <w:sz w:val="16"/>
              <w:szCs w:val="16"/>
            </w:rPr>
          </w:pPr>
          <w:r>
            <w:rPr>
              <w:rFonts w:eastAsia="Times New Roman" w:cs="Times New Roman"/>
              <w:sz w:val="16"/>
              <w:szCs w:val="16"/>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snapToGrid w:val="false"/>
            <w:rPr>
              <w:rFonts w:ascii="Times New Roman" w:hAnsi="Times New Roman" w:eastAsia="Times New Roman" w:cs="Times New Roman"/>
            </w:rPr>
          </w:pPr>
          <w:r>
            <w:rPr>
              <w:rFonts w:eastAsia="Times New Roman" w:cs="Times New Roman" w:ascii="Times New Roman" w:hAnsi="Times New Roman"/>
            </w:rPr>
          </w:r>
        </w:p>
      </w:tc>
      <w:tc>
        <w:tcPr>
          <w:tcW w:w="4788" w:type="dxa"/>
          <w:tcBorders/>
        </w:tcPr>
        <w:p>
          <w:pPr>
            <w:pStyle w:val="Header"/>
            <w:jc w:val="end"/>
            <w:rPr>
              <w:rFonts w:ascii="Times New Roman" w:hAnsi="Times New Roman" w:eastAsia="Times New Roman" w:cs="Times New Roman"/>
              <w:sz w:val="16"/>
              <w:szCs w:val="16"/>
            </w:rPr>
          </w:pPr>
          <w:r>
            <w:rPr>
              <w:rFonts w:eastAsia="Times New Roman" w:cs="Times New Roman" w:ascii="Times New Roman" w:hAnsi="Times New Roman"/>
              <w:sz w:val="16"/>
              <w:szCs w:val="16"/>
            </w:rPr>
            <w:t>DRAFT  4 C:\DATA\PGG\OII\P\OFO-MOT.DOC</w:t>
          </w:r>
        </w:p>
      </w:tc>
    </w:tr>
  </w:tbl>
  <w:p>
    <w:pPr>
      <w:pStyle w:val="Header"/>
      <w:jc w:val="end"/>
      <w:rPr>
        <w:rFonts w:ascii="Times New Roman" w:hAnsi="Times New Roman" w:eastAsia="Times New Roman" w:cs="Times New Roman"/>
      </w:rPr>
    </w:pPr>
    <w:r>
      <w:rPr>
        <w:rFonts w:eastAsia="Times New Roman"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2" name="Frame5"/>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13309600" cy="14605"/>
              <wp:effectExtent l="0" t="0" r="0" b="0"/>
              <wp:wrapNone/>
              <wp:docPr id="3" name="Frame8"/>
              <a:graphic xmlns:a="http://schemas.openxmlformats.org/drawingml/2006/main">
                <a:graphicData uri="http://schemas.microsoft.com/office/word/2010/wordprocessingShape">
                  <wps:wsp>
                    <wps:cNvSpPr txBox="1"/>
                    <wps:spPr>
                      <a:xfrm>
                        <a:off x="0" y="0"/>
                        <a:ext cx="13309600" cy="14605"/>
                      </a:xfrm>
                      <a:prstGeom prst="rect"/>
                      <a:solidFill>
                        <a:srgbClr val="FFFFFF"/>
                      </a:solidFill>
                    </wps:spPr>
                    <wps:txbx>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jc w:val="center"/>
                                  <w:rPr>
                                    <w:b/>
                                    <w:bCs/>
                                    <w:smallCaps/>
                                  </w:rPr>
                                </w:pPr>
                                <w:r>
                                  <w:rPr>
                                    <w:b/>
                                    <w:bCs/>
                                    <w:smallCaps/>
                                  </w:rPr>
                                  <w:t>(continued)</w:t>
                                </w:r>
                              </w:p>
                              <w:p>
                                <w:pPr>
                                  <w:pStyle w:val="Normal"/>
                                  <w:ind w:end="173"/>
                                  <w:jc w:val="end"/>
                                  <w:rPr>
                                    <w:b/>
                                    <w:bCs/>
                                    <w:smallCaps/>
                                  </w:rPr>
                                </w:pPr>
                                <w:r>
                                  <w:rPr>
                                    <w:b/>
                                    <w:bCs/>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1048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jc w:val="center"/>
                            <w:rPr>
                              <w:b/>
                              <w:bCs/>
                              <w:smallCaps/>
                            </w:rPr>
                          </w:pPr>
                          <w:r>
                            <w:rPr>
                              <w:b/>
                              <w:bCs/>
                              <w:smallCaps/>
                            </w:rPr>
                            <w:t>(continued)</w:t>
                          </w:r>
                        </w:p>
                        <w:p>
                          <w:pPr>
                            <w:pStyle w:val="Normal"/>
                            <w:ind w:end="173"/>
                            <w:jc w:val="end"/>
                            <w:rPr>
                              <w:b/>
                              <w:bCs/>
                              <w:smallCaps/>
                            </w:rPr>
                          </w:pPr>
                          <w:r>
                            <w:rPr>
                              <w:b/>
                              <w:bCs/>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align>top</wp:align>
              </wp:positionV>
              <wp:extent cx="6858000" cy="10058400"/>
              <wp:effectExtent l="0" t="0" r="0" b="0"/>
              <wp:wrapNone/>
              <wp:docPr id="4" name="Frame7"/>
              <a:graphic xmlns:a="http://schemas.openxmlformats.org/drawingml/2006/main">
                <a:graphicData uri="http://schemas.microsoft.com/office/word/2010/wordprocessingShape">
                  <wps:wsp>
                    <wps:cNvSpPr txBox="1"/>
                    <wps:spPr>
                      <a:xfrm>
                        <a:off x="0" y="0"/>
                        <a:ext cx="6858000" cy="10058400"/>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Contents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792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Contents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826250" cy="14605"/>
              <wp:effectExtent l="0" t="0" r="0" b="0"/>
              <wp:wrapNone/>
              <wp:docPr id="5" name="Frame10"/>
              <a:graphic xmlns:a="http://schemas.openxmlformats.org/drawingml/2006/main">
                <a:graphicData uri="http://schemas.microsoft.com/office/word/2010/wordprocessingShape">
                  <wps:wsp>
                    <wps:cNvSpPr txBox="1"/>
                    <wps:spPr>
                      <a:xfrm>
                        <a:off x="0" y="0"/>
                        <a:ext cx="6826250" cy="14605"/>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align>top</wp:align>
              </wp:positionV>
              <wp:extent cx="6858000" cy="10058400"/>
              <wp:effectExtent l="0" t="0" r="0" b="0"/>
              <wp:wrapNone/>
              <wp:docPr id="6" name="Frame9"/>
              <a:graphic xmlns:a="http://schemas.openxmlformats.org/drawingml/2006/main">
                <a:graphicData uri="http://schemas.microsoft.com/office/word/2010/wordprocessingShape">
                  <wps:wsp>
                    <wps:cNvSpPr txBox="1"/>
                    <wps:spPr>
                      <a:xfrm>
                        <a:off x="0" y="0"/>
                        <a:ext cx="6858000" cy="10058400"/>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Authorities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792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Authorities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color w:val="auto"/>
      <w:spacing w:val="0"/>
      <w:kern w:val="0"/>
      <w:sz w:val="24"/>
      <w:szCs w:val="24"/>
      <w:u w:val="none"/>
      <w:vertAlign w:val="superscript"/>
      <w:lang w:val="en-US"/>
    </w:rPr>
  </w:style>
  <w:style w:type="character" w:styleId="PageNumber">
    <w:name w:val="page number"/>
    <w:basedOn w:val="DefaultParagraphFont"/>
    <w:rPr>
      <w:rFonts w:ascii="Courier New" w:hAnsi="Courier New" w:eastAsia="Courier New" w:cs="Courier New"/>
      <w:color w:val="auto"/>
      <w:spacing w:val="0"/>
      <w:kern w:val="0"/>
      <w:position w:val="0"/>
      <w:sz w:val="24"/>
      <w:sz w:val="24"/>
      <w:szCs w:val="24"/>
      <w:u w:val="none"/>
      <w:vertAlign w:val="baseline"/>
      <w:lang w:val="en-US"/>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spacing w:lineRule="exact" w:line="240"/>
      <w:ind w:hanging="0" w:start="360" w:end="0"/>
    </w:pPr>
    <w:rPr>
      <w:rFonts w:ascii="Courier New" w:hAnsi="Courier New" w:eastAsia="Courier New" w:cs="Courier New"/>
    </w:rPr>
  </w:style>
  <w:style w:type="paragraph" w:styleId="Centered">
    <w:name w:val="Centered"/>
    <w:basedOn w:val="Normal"/>
    <w:next w:val="BodyText"/>
    <w:qFormat/>
    <w:pPr>
      <w:spacing w:lineRule="exact" w:line="240" w:before="0" w:after="240"/>
      <w:jc w:val="center"/>
    </w:pPr>
    <w:rPr>
      <w:rFonts w:ascii="Courier New" w:hAnsi="Courier New" w:eastAsia="Courier New" w:cs="Courier New"/>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spacing w:lineRule="exact" w:line="240"/>
    </w:pPr>
    <w:rPr/>
  </w:style>
  <w:style w:type="paragraph" w:styleId="FootnoteText">
    <w:name w:val="footnote text"/>
    <w:basedOn w:val="Normal"/>
    <w:pPr>
      <w:tabs>
        <w:tab w:val="clear" w:pos="720"/>
        <w:tab w:val="left" w:pos="432" w:leader="none"/>
      </w:tabs>
      <w:spacing w:lineRule="exact" w:line="240" w:before="0" w:after="120"/>
      <w:ind w:hanging="432" w:start="432" w:end="0"/>
    </w:pPr>
    <w:rPr>
      <w:sz w:val="20"/>
      <w:szCs w:val="20"/>
    </w:rPr>
  </w:style>
  <w:style w:type="paragraph" w:styleId="Header">
    <w:name w:val="header"/>
    <w:basedOn w:val="Normal"/>
    <w:pPr>
      <w:widowControl w:val="false"/>
      <w:tabs>
        <w:tab w:val="clear" w:pos="720"/>
        <w:tab w:val="center" w:pos="4320" w:leader="none"/>
        <w:tab w:val="right" w:pos="9821" w:leader="none"/>
      </w:tabs>
      <w:spacing w:lineRule="exact" w:line="240"/>
    </w:pPr>
    <w:rPr>
      <w:rFonts w:ascii="Courier New" w:hAnsi="Courier New" w:eastAsia="Courier New" w:cs="Courier New"/>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spacing w:lineRule="exact" w:line="240"/>
    </w:pPr>
    <w:rPr>
      <w:rFonts w:ascii="Courier New" w:hAnsi="Courier New" w:eastAsia="Courier New" w:cs="Courier New"/>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806" w:leader="dot"/>
      </w:tabs>
      <w:spacing w:before="120" w:after="0"/>
      <w:ind w:hanging="0" w:start="720" w:end="720"/>
    </w:pPr>
    <w:rPr/>
  </w:style>
  <w:style w:type="paragraph" w:styleId="TOAHeading">
    <w:name w:val="TOA Heading"/>
    <w:basedOn w:val="Normal"/>
    <w:next w:val="TableofAuthorities"/>
    <w:qFormat/>
    <w:pPr>
      <w:keepNext w:val="true"/>
      <w:spacing w:before="120" w:after="0"/>
    </w:pPr>
    <w:rPr>
      <w:b/>
      <w:bCs/>
      <w:caps/>
    </w:rPr>
  </w:style>
  <w:style w:type="paragraph" w:styleId="TOC1">
    <w:name w:val="toc 1"/>
    <w:basedOn w:val="Normal"/>
    <w:pPr>
      <w:keepLines/>
      <w:tabs>
        <w:tab w:val="clear" w:pos="720"/>
        <w:tab w:val="right" w:pos="9835" w:leader="dot"/>
      </w:tabs>
      <w:spacing w:before="120" w:after="120"/>
      <w:ind w:hanging="806" w:start="806" w:end="1440"/>
    </w:pPr>
    <w:rPr>
      <w:caps/>
    </w:rPr>
  </w:style>
  <w:style w:type="paragraph" w:styleId="TOC2">
    <w:name w:val="toc 2"/>
    <w:basedOn w:val="Normal"/>
    <w:pPr>
      <w:tabs>
        <w:tab w:val="clear" w:pos="720"/>
        <w:tab w:val="right" w:pos="9835" w:leader="dot"/>
      </w:tabs>
      <w:spacing w:before="120" w:after="0"/>
      <w:ind w:hanging="634" w:start="1440" w:end="1440"/>
    </w:pPr>
    <w:rPr/>
  </w:style>
  <w:style w:type="paragraph" w:styleId="TOC3">
    <w:name w:val="toc 3"/>
    <w:basedOn w:val="Normal"/>
    <w:pPr>
      <w:keepLines/>
      <w:tabs>
        <w:tab w:val="clear" w:pos="720"/>
        <w:tab w:val="right" w:pos="9835" w:leader="dot"/>
      </w:tabs>
      <w:spacing w:before="120" w:after="0"/>
      <w:ind w:hanging="720" w:start="2160" w:end="1440"/>
    </w:pPr>
    <w:rPr/>
  </w:style>
  <w:style w:type="paragraph" w:styleId="TOC4">
    <w:name w:val="toc 4"/>
    <w:basedOn w:val="Normal"/>
    <w:pPr>
      <w:keepLines/>
      <w:tabs>
        <w:tab w:val="clear" w:pos="720"/>
        <w:tab w:val="right" w:pos="9835" w:leader="dot"/>
      </w:tabs>
      <w:spacing w:before="120" w:after="0"/>
      <w:ind w:hanging="720" w:start="2880" w:end="1440"/>
    </w:pPr>
    <w:rPr/>
  </w:style>
  <w:style w:type="paragraph" w:styleId="TOC5">
    <w:name w:val="toc 5"/>
    <w:basedOn w:val="Normal"/>
    <w:pPr>
      <w:keepLines/>
      <w:tabs>
        <w:tab w:val="clear" w:pos="720"/>
        <w:tab w:val="right" w:pos="9835" w:leader="dot"/>
      </w:tabs>
      <w:spacing w:before="120" w:after="0"/>
      <w:ind w:hanging="720" w:start="3600" w:end="1440"/>
    </w:pPr>
    <w:rPr/>
  </w:style>
  <w:style w:type="paragraph" w:styleId="TOC6">
    <w:name w:val="toc 6"/>
    <w:basedOn w:val="Normal"/>
    <w:pPr>
      <w:keepLines/>
      <w:tabs>
        <w:tab w:val="clear" w:pos="720"/>
        <w:tab w:val="right" w:pos="9835" w:leader="dot"/>
      </w:tabs>
      <w:spacing w:before="120" w:after="0"/>
      <w:ind w:hanging="720" w:start="4320" w:end="1440"/>
    </w:pPr>
    <w:rPr/>
  </w:style>
  <w:style w:type="paragraph" w:styleId="TOC7">
    <w:name w:val="toc 7"/>
    <w:basedOn w:val="Normal"/>
    <w:pPr>
      <w:keepLines/>
      <w:tabs>
        <w:tab w:val="clear" w:pos="720"/>
        <w:tab w:val="right" w:pos="9835" w:leader="dot"/>
      </w:tabs>
      <w:spacing w:before="120" w:after="0"/>
      <w:ind w:hanging="806" w:start="5126" w:end="1440"/>
    </w:pPr>
    <w:rPr/>
  </w:style>
  <w:style w:type="paragraph" w:styleId="TOC8">
    <w:name w:val="toc 8"/>
    <w:basedOn w:val="Normal"/>
    <w:pPr>
      <w:keepLines/>
      <w:tabs>
        <w:tab w:val="clear" w:pos="720"/>
        <w:tab w:val="right" w:pos="9835" w:leader="dot"/>
      </w:tabs>
      <w:spacing w:before="120" w:after="0"/>
      <w:ind w:hanging="634" w:start="5760" w:end="1440"/>
    </w:pPr>
    <w:rPr/>
  </w:style>
  <w:style w:type="paragraph" w:styleId="TOC9">
    <w:name w:val="toc 9"/>
    <w:basedOn w:val="Normal"/>
    <w:pPr>
      <w:keepLines/>
      <w:tabs>
        <w:tab w:val="clear" w:pos="720"/>
        <w:tab w:val="right" w:pos="9835" w:leader="dot"/>
      </w:tabs>
      <w:spacing w:before="120" w:after="0"/>
      <w:ind w:hanging="720" w:start="6480" w:end="1440"/>
    </w:pPr>
    <w:rPr/>
  </w:style>
  <w:style w:type="paragraph" w:styleId="EnvelopeAddress">
    <w:name w:val="envelope address"/>
    <w:basedOn w:val="Normal"/>
    <w:pPr>
      <w:ind w:hanging="0" w:start="2880" w:end="0"/>
    </w:pPr>
    <w:rPr>
      <w:rFonts w:ascii="Courier New" w:hAnsi="Courier New" w:eastAsia="Courier New" w:cs="Courier New"/>
    </w:rPr>
  </w:style>
  <w:style w:type="paragraph" w:styleId="HeaderNumbersOld">
    <w:name w:val="HeaderNumbersOld"/>
    <w:basedOn w:val="Normal"/>
    <w:qFormat/>
    <w:pPr>
      <w:spacing w:lineRule="exact" w:line="480" w:before="720" w:after="0"/>
      <w:ind w:hanging="0" w:start="0" w:end="144"/>
      <w:jc w:val="end"/>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rFonts w:ascii="Times New Roman" w:hAnsi="Times New Roman" w:eastAsia="Times New Roman" w:cs="Times New Roman"/>
    </w:rPr>
  </w:style>
  <w:style w:type="paragraph" w:styleId="LineNumbers">
    <w:name w:val="LineNumbers"/>
    <w:basedOn w:val="Normal"/>
    <w:qFormat/>
    <w:pPr>
      <w:spacing w:lineRule="auto" w:line="240"/>
      <w:jc w:val="end"/>
    </w:pPr>
    <w:rPr>
      <w:rFonts w:ascii="Times New Roman" w:hAnsi="Times New Roman" w:eastAsia="Times New Roman" w:cs="Times New Roman"/>
      <w:sz w:val="18"/>
      <w:szCs w:val="18"/>
    </w:rPr>
  </w:style>
  <w:style w:type="paragraph" w:styleId="SingleSpacing">
    <w:name w:val="Single Spacing"/>
    <w:basedOn w:val="Normal"/>
    <w:qFormat/>
    <w:pPr>
      <w:spacing w:lineRule="exact" w:line="249"/>
    </w:pPr>
    <w:rPr>
      <w:rFonts w:ascii="Times New Roman" w:hAnsi="Times New Roman" w:eastAsia="Times New Roman" w:cs="Times New Roman"/>
    </w:rPr>
  </w:style>
  <w:style w:type="paragraph" w:styleId="Address">
    <w:name w:val="Address"/>
    <w:basedOn w:val="SingleSpacing"/>
    <w:qFormat/>
    <w:pPr/>
    <w:rPr/>
  </w:style>
  <w:style w:type="paragraph" w:styleId="DoubleSpacing">
    <w:name w:val="Double Spacing"/>
    <w:basedOn w:val="Normal"/>
    <w:qFormat/>
    <w:pPr>
      <w:spacing w:lineRule="auto" w:line="240"/>
    </w:pPr>
    <w:rPr>
      <w:rFonts w:ascii="Times New Roman" w:hAnsi="Times New Roman" w:eastAsia="Times New Roman" w:cs="Times New Roman"/>
      <w:sz w:val="18"/>
      <w:szCs w:val="18"/>
    </w:rPr>
  </w:style>
  <w:style w:type="paragraph" w:styleId="CourtName">
    <w:name w:val="CourtName"/>
    <w:basedOn w:val="Normal"/>
    <w:qFormat/>
    <w:pPr>
      <w:spacing w:lineRule="auto" w:line="240"/>
      <w:jc w:val="center"/>
    </w:pPr>
    <w:rPr>
      <w:rFonts w:ascii="Times New Roman" w:hAnsi="Times New Roman" w:eastAsia="Times New Roman" w:cs="Times New Roman"/>
    </w:rPr>
  </w:style>
  <w:style w:type="paragraph" w:styleId="indentsingle">
    <w:name w:val="indent single"/>
    <w:basedOn w:val="Heading3"/>
    <w:qFormat/>
    <w:pPr>
      <w:numPr>
        <w:ilvl w:val="0"/>
        <w:numId w:val="0"/>
      </w:numPr>
      <w:spacing w:lineRule="exact" w:line="249" w:before="249" w:after="249"/>
      <w:ind w:hanging="720" w:start="1440" w:end="1440"/>
      <w:outlineLvl w:val="9"/>
    </w:pPr>
    <w:rPr>
      <w:rFonts w:ascii="Times New Roman" w:hAnsi="Times New Roman" w:eastAsia="Times New Roman" w:cs="Times New Roman"/>
      <w:b w:val="false"/>
      <w:bCs w:val="false"/>
    </w:rPr>
  </w:style>
  <w:style w:type="paragraph" w:styleId="normalpara">
    <w:name w:val="normal para"/>
    <w:basedOn w:val="Normal"/>
    <w:qFormat/>
    <w:pPr>
      <w:spacing w:lineRule="auto" w:line="480"/>
      <w:ind w:firstLine="1440" w:start="0" w:end="0"/>
    </w:pPr>
    <w:rPr>
      <w:rFonts w:ascii="Times New Roman" w:hAnsi="Times New Roman" w:eastAsia="Times New Roman" w:cs="Times New Roman"/>
      <w:sz w:val="25"/>
      <w:szCs w:val="25"/>
    </w:rPr>
  </w:style>
  <w:style w:type="paragraph" w:styleId="QA">
    <w:name w:val="QA"/>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480"/>
      <w:ind w:hanging="720" w:start="720" w:end="0"/>
    </w:pPr>
    <w:rPr>
      <w:rFonts w:ascii="Times New Roman" w:hAnsi="Times New Roman" w:eastAsia="Times New Roman" w:cs="Times New Roman"/>
    </w:rPr>
  </w:style>
  <w:style w:type="paragraph" w:styleId="QA-text">
    <w:name w:val="QA - text"/>
    <w:basedOn w:val="QA"/>
    <w:qFormat/>
    <w:pPr>
      <w:ind w:firstLine="720" w:start="720" w:end="0"/>
    </w:pPr>
    <w:rPr/>
  </w:style>
  <w:style w:type="paragraph" w:styleId="indentquote">
    <w:name w:val="indent quote"/>
    <w:basedOn w:val="NormalIndent"/>
    <w:qFormat/>
    <w:pPr>
      <w:spacing w:lineRule="exact" w:line="249"/>
      <w:ind w:hanging="0" w:start="1440" w:end="1584"/>
    </w:pPr>
    <w:rPr>
      <w:rFonts w:ascii="Times New Roman" w:hAnsi="Times New Roman" w:eastAsia="Times New Roman" w:cs="Times New Roman"/>
    </w:rPr>
  </w:style>
  <w:style w:type="paragraph" w:styleId="testimonyheader">
    <w:name w:val="testimony header"/>
    <w:basedOn w:val="Normal"/>
    <w:next w:val="Heading1"/>
    <w:qFormat/>
    <w:pPr>
      <w:spacing w:lineRule="exact" w:line="480" w:before="0" w:after="480"/>
      <w:jc w:val="center"/>
    </w:pPr>
    <w:rPr>
      <w:caps/>
    </w:rPr>
  </w:style>
  <w:style w:type="paragraph" w:styleId="Footnote-Testimony">
    <w:name w:val="Footnote - Testimony"/>
    <w:basedOn w:val="Normal"/>
    <w:qFormat/>
    <w:pPr>
      <w:spacing w:lineRule="auto" w:line="240"/>
      <w:ind w:hanging="720" w:start="720" w:end="0"/>
    </w:pPr>
    <w:rPr>
      <w:sz w:val="20"/>
      <w:szCs w:val="20"/>
    </w:rPr>
  </w:style>
  <w:style w:type="paragraph" w:styleId="Normal-Testimony">
    <w:name w:val="Normal - Testimony"/>
    <w:basedOn w:val="testimonyheader"/>
    <w:qFormat/>
    <w:pPr>
      <w:spacing w:before="0" w:after="0"/>
      <w:ind w:firstLine="432" w:start="0" w:end="0"/>
      <w:jc w:val="start"/>
    </w:pPr>
    <w:rPr>
      <w:caps w:val="false"/>
      <w:smallCaps w:val="false"/>
    </w:rPr>
  </w:style>
  <w:style w:type="paragraph" w:styleId="bodytext2-unindent">
    <w:name w:val="body text 2 - unindent"/>
    <w:basedOn w:val="Normal"/>
    <w:qFormat/>
    <w:pPr>
      <w:tabs>
        <w:tab w:val="clear" w:pos="720"/>
        <w:tab w:val="left" w:pos="288" w:leader="none"/>
      </w:tabs>
      <w:spacing w:lineRule="exact" w:line="480"/>
      <w:ind w:hanging="0" w:start="864" w:end="0"/>
    </w:pPr>
    <w:rPr/>
  </w:style>
  <w:style w:type="paragraph" w:styleId="bodytext2">
    <w:name w:val="body text 2"/>
    <w:basedOn w:val="Normal"/>
    <w:qFormat/>
    <w:pPr>
      <w:tabs>
        <w:tab w:val="clear" w:pos="720"/>
        <w:tab w:val="left" w:pos="288" w:leader="none"/>
      </w:tabs>
      <w:spacing w:lineRule="exact" w:line="480"/>
      <w:ind w:firstLine="432" w:start="864" w:end="0"/>
    </w:pPr>
    <w:rPr/>
  </w:style>
  <w:style w:type="paragraph" w:styleId="bodytext3">
    <w:name w:val="body text 3"/>
    <w:basedOn w:val="Normal"/>
    <w:qFormat/>
    <w:pPr>
      <w:tabs>
        <w:tab w:val="clear" w:pos="720"/>
        <w:tab w:val="left" w:pos="288" w:leader="none"/>
      </w:tabs>
      <w:spacing w:lineRule="exact" w:line="480"/>
      <w:ind w:firstLine="432" w:start="129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1999-09-23T21:17:00Z</dcterms:created>
  <dc:creator>Geoff Bellenger</dc:creator>
  <dc:description/>
  <dc:language>en-CA</dc:language>
  <cp:lastModifiedBy>Dan Thomas</cp:lastModifiedBy>
  <cp:lastPrinted>1999-09-23T15:34:00Z</cp:lastPrinted>
  <dcterms:modified xsi:type="dcterms:W3CDTF">1999-09-24T16:17:00Z</dcterms:modified>
  <cp:revision>5</cp:revision>
  <dc:subject/>
  <dc:title>BEFORE THE</dc:title>
</cp:coreProperties>
</file>