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ind w:firstLine="720" w:start="4320" w:end="0"/>
        <w:rPr>
          <w:rFonts w:ascii="Arial" w:hAnsi="Arial" w:cs="Arial"/>
        </w:rPr>
      </w:pPr>
      <w:r>
        <w:rPr>
          <w:rFonts w:cs="Arial" w:ascii="Arial" w:hAnsi="Arial"/>
        </w:rPr>
        <w:t>September 11,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Honorable Gray Davis</w:t>
      </w:r>
    </w:p>
    <w:p>
      <w:pPr>
        <w:pStyle w:val="Normal"/>
        <w:rPr>
          <w:rFonts w:ascii="Arial" w:hAnsi="Arial" w:cs="Arial"/>
        </w:rPr>
      </w:pPr>
      <w:r>
        <w:rPr>
          <w:rFonts w:cs="Arial" w:ascii="Arial" w:hAnsi="Arial"/>
        </w:rPr>
        <w:t xml:space="preserve">Governor </w:t>
      </w:r>
    </w:p>
    <w:p>
      <w:pPr>
        <w:pStyle w:val="Normal"/>
        <w:rPr>
          <w:rFonts w:ascii="Arial" w:hAnsi="Arial" w:cs="Arial"/>
        </w:rPr>
      </w:pPr>
      <w:r>
        <w:rPr>
          <w:rFonts w:cs="Arial" w:ascii="Arial" w:hAnsi="Arial"/>
        </w:rPr>
        <w:t>State Capitol</w:t>
      </w:r>
    </w:p>
    <w:p>
      <w:pPr>
        <w:pStyle w:val="Normal"/>
        <w:rPr>
          <w:rFonts w:ascii="Arial" w:hAnsi="Arial" w:cs="Arial"/>
        </w:rPr>
      </w:pPr>
      <w:r>
        <w:rPr>
          <w:rFonts w:cs="Arial" w:ascii="Arial" w:hAnsi="Arial"/>
        </w:rPr>
        <w:t>Sacramento, California, 95814</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Governor:</w:t>
      </w:r>
    </w:p>
    <w:p>
      <w:pPr>
        <w:pStyle w:val="Normal"/>
        <w:rPr>
          <w:rFonts w:ascii="Arial" w:hAnsi="Arial" w:cs="Arial"/>
        </w:rPr>
      </w:pPr>
      <w:r>
        <w:rPr>
          <w:rFonts w:cs="Arial" w:ascii="Arial" w:hAnsi="Arial"/>
        </w:rPr>
      </w:r>
    </w:p>
    <w:p>
      <w:pPr>
        <w:pStyle w:val="BodyText"/>
        <w:rPr>
          <w:sz w:val="24"/>
        </w:rPr>
      </w:pPr>
      <w:r>
        <w:rPr>
          <w:sz w:val="24"/>
        </w:rPr>
        <w:t>With this letter, I write to request your leadership in seeking voluntary adjustments to the worst of the electricity contracts negotiated on behalf of the California Department of Water Resources (CDWR).</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t xml:space="preserve">CEERT has commissioned a review of the CDWR electricity contracts.  In this review, the primary concern revealed is the state’s ability to protect consumers and the environment given the provisions of several of these contracts and the proposed rate agreement to provide the revenue to finance them.  </w:t>
      </w:r>
    </w:p>
    <w:p>
      <w:pPr>
        <w:pStyle w:val="Normal"/>
        <w:rPr>
          <w:rFonts w:ascii="Arial" w:hAnsi="Arial" w:cs="Arial"/>
        </w:rPr>
      </w:pPr>
      <w:r>
        <w:rPr>
          <w:rFonts w:cs="Arial" w:ascii="Arial" w:hAnsi="Arial"/>
        </w:rPr>
      </w:r>
    </w:p>
    <w:p>
      <w:pPr>
        <w:pStyle w:val="Normal"/>
        <w:ind w:end="-180"/>
        <w:rPr>
          <w:rFonts w:ascii="Arial" w:hAnsi="Arial" w:cs="Arial"/>
        </w:rPr>
      </w:pPr>
      <w:r>
        <w:rPr>
          <w:rFonts w:cs="Arial" w:ascii="Arial" w:hAnsi="Arial"/>
        </w:rPr>
        <w:t xml:space="preserve">We believe the uncertainties and problems surrounding these contracts could be alleviated by voluntary renegotiations. It is almost certain that some of the contracts will be challenged in court and/or by initiative petition. AB 1X (Ch. 4, Statutes of 2001) required CDWR to perform a reasonableness review, which has never been conducted. Conflict of interest concerns also cloud their status. Some of the contracts with the worst provisions may have been negotiated under economic duress during the period just prior to FERC’s decision to rein in market power by the generators.  These uncertainties, combined with the unresolved issue of providing guaranteed revenue to pay for the obligations in the contracts, provide a unique opportunity for renegotiation of the most damaging and unreasonable provisions of some of the contracts. </w:t>
      </w:r>
    </w:p>
    <w:p>
      <w:pPr>
        <w:pStyle w:val="Normal"/>
        <w:ind w:start="720" w:end="-180"/>
        <w:rPr>
          <w:rFonts w:ascii="Arial" w:hAnsi="Arial" w:cs="Arial"/>
        </w:rPr>
      </w:pPr>
      <w:r>
        <w:rPr>
          <w:rFonts w:cs="Arial" w:ascii="Arial" w:hAnsi="Arial"/>
        </w:rPr>
      </w:r>
    </w:p>
    <w:p>
      <w:pPr>
        <w:pStyle w:val="Normal"/>
        <w:ind w:end="-180"/>
        <w:rPr>
          <w:rFonts w:ascii="Arial" w:hAnsi="Arial" w:cs="Arial"/>
        </w:rPr>
      </w:pPr>
      <w:r>
        <w:rPr>
          <w:rFonts w:cs="Arial" w:ascii="Arial" w:hAnsi="Arial"/>
        </w:rPr>
        <w:t xml:space="preserve">We agree that the contracts helped stabilize the dysfunctional power market the state faced earlier year. With the exception of one or two of these contracts, the primary issue is the need to adjust unreasonable and potentially abusive provisions.  </w:t>
      </w:r>
    </w:p>
    <w:p>
      <w:pPr>
        <w:pStyle w:val="Normal"/>
        <w:rPr>
          <w:rFonts w:ascii="Arial" w:hAnsi="Arial" w:cs="Arial"/>
        </w:rPr>
      </w:pPr>
      <w:r>
        <w:rPr>
          <w:rFonts w:cs="Arial" w:ascii="Arial" w:hAnsi="Arial"/>
        </w:rPr>
      </w:r>
    </w:p>
    <w:p>
      <w:pPr>
        <w:pStyle w:val="Heading1"/>
        <w:ind w:hanging="0" w:start="0"/>
        <w:rPr>
          <w:rFonts w:ascii="Arial" w:hAnsi="Arial" w:cs="Arial"/>
          <w:i/>
          <w:i/>
          <w:u w:val="single"/>
        </w:rPr>
      </w:pPr>
      <w:r>
        <w:rPr>
          <w:rFonts w:cs="Arial" w:ascii="Arial" w:hAnsi="Arial"/>
          <w:i/>
          <w:u w:val="single"/>
        </w:rPr>
        <w:t>Background: Statewide Pressure For Renegotiation Is Growing</w:t>
      </w:r>
    </w:p>
    <w:p>
      <w:pPr>
        <w:pStyle w:val="Normal"/>
        <w:rPr>
          <w:rFonts w:ascii="Arial" w:hAnsi="Arial" w:cs="Arial"/>
          <w:b/>
          <w:i/>
          <w:i/>
          <w:u w:val="single"/>
        </w:rPr>
      </w:pPr>
      <w:r>
        <w:rPr>
          <w:rFonts w:cs="Arial" w:ascii="Arial" w:hAnsi="Arial"/>
          <w:b/>
          <w:i/>
          <w:u w:val="single"/>
        </w:rPr>
      </w:r>
    </w:p>
    <w:p>
      <w:pPr>
        <w:pStyle w:val="BodyTextIndent"/>
        <w:ind w:start="0" w:end="0"/>
        <w:rPr/>
      </w:pPr>
      <w:r>
        <w:rPr/>
        <w:t xml:space="preserve">Over the past several weeks, we have become increasingly concerned that the CDWR rate agreement now pending before the California Public Utilities Commission (CPUC) will have serious long-term consequences that could discourage investments in energy efficiency and renewable energy. We share the concern of business leaders that the rate agreement ends any hope for competitive direct access and much needed reforms in California’s energy procurement.  Even if the CPUC ultimately adopts the controversial rate agreement, one utility has made it clear that both the agreement and the sale of state bonds will be taken to court. We think a better course of action is to separate the revenue requirement for the bonds from the contracts, and have the Department initiate a process of voluntary renegotiation of those contracts that contain the most troubling and unjustified provisions. Legislation will soon reach your desk which will provide a “bond only” dedicated rate component that would encourage the renegotiation of the contracts. </w:t>
      </w:r>
    </w:p>
    <w:p>
      <w:pPr>
        <w:pStyle w:val="Footer"/>
        <w:tabs>
          <w:tab w:val="clear" w:pos="4320"/>
          <w:tab w:val="clear" w:pos="8640"/>
        </w:tabs>
        <w:ind w:start="720" w:end="0"/>
        <w:rPr>
          <w:rFonts w:ascii="Arial" w:hAnsi="Arial" w:cs="Arial"/>
        </w:rPr>
      </w:pPr>
      <w:r>
        <w:rPr>
          <w:rFonts w:cs="Arial" w:ascii="Arial" w:hAnsi="Arial"/>
        </w:rPr>
      </w:r>
    </w:p>
    <w:p>
      <w:pPr>
        <w:pStyle w:val="Heading1"/>
        <w:ind w:hanging="0" w:start="0"/>
        <w:rPr>
          <w:rFonts w:ascii="Arial" w:hAnsi="Arial" w:cs="Arial"/>
          <w:i/>
          <w:i/>
          <w:u w:val="single"/>
        </w:rPr>
      </w:pPr>
      <w:r>
        <w:rPr>
          <w:rFonts w:cs="Arial" w:ascii="Arial" w:hAnsi="Arial"/>
          <w:i/>
          <w:u w:val="single"/>
        </w:rPr>
        <w:t>CEERT’s Preliminary Review of CDWR Power Contracts</w:t>
      </w:r>
    </w:p>
    <w:p>
      <w:pPr>
        <w:pStyle w:val="Normal"/>
        <w:rPr>
          <w:rFonts w:ascii="Arial" w:hAnsi="Arial" w:cs="Arial"/>
          <w:b/>
          <w:i/>
          <w:i/>
          <w:u w:val="single"/>
        </w:rPr>
      </w:pPr>
      <w:r>
        <w:rPr>
          <w:rFonts w:cs="Arial" w:ascii="Arial" w:hAnsi="Arial"/>
          <w:b/>
          <w:i/>
          <w:u w:val="single"/>
        </w:rPr>
      </w:r>
    </w:p>
    <w:p>
      <w:pPr>
        <w:pStyle w:val="Normal"/>
        <w:rPr>
          <w:rFonts w:ascii="Arial" w:hAnsi="Arial" w:cs="Arial"/>
        </w:rPr>
      </w:pPr>
      <w:r>
        <w:rPr>
          <w:rFonts w:cs="Arial" w:ascii="Arial" w:hAnsi="Arial"/>
        </w:rPr>
        <w:t>Our preliminary findings show that CDWR agreed to buy too much power, often for too long a period, at too high a price and, to make matters worse, much of this power is simply too dirty.  The biggest weakness of too many of these contracts is inflexibility.  10-year "take-or-pay" contracts for gas-fired projects tie the state's hands and make it virtually impossible to turn down electricity or reduce its price in the event of power surpluses.  In short, while CDWR power contracts have helped stabilize the market, sometimes you can have too much of a good thing.  While many of the contracts can withstand careful public scrutiny, here are some specific examples of contract provisions that can and should be renegotiated.</w:t>
      </w:r>
    </w:p>
    <w:p>
      <w:pPr>
        <w:pStyle w:val="Normal"/>
        <w:rPr>
          <w:rFonts w:ascii="Arial" w:hAnsi="Arial" w:cs="Arial"/>
          <w:b/>
        </w:rPr>
      </w:pPr>
      <w:r>
        <w:rPr>
          <w:rFonts w:cs="Arial" w:ascii="Arial" w:hAnsi="Arial"/>
          <w:b/>
        </w:rPr>
      </w:r>
    </w:p>
    <w:p>
      <w:pPr>
        <w:pStyle w:val="Heading2"/>
        <w:ind w:start="0" w:end="0"/>
        <w:rPr/>
      </w:pPr>
      <w:r>
        <w:rPr/>
        <w:t>Too Much "Take or Pay" Power</w:t>
      </w:r>
    </w:p>
    <w:p>
      <w:pPr>
        <w:pStyle w:val="Normal"/>
        <w:rPr>
          <w:rFonts w:ascii="Arial" w:hAnsi="Arial" w:cs="Arial"/>
          <w:b/>
        </w:rPr>
      </w:pPr>
      <w:r>
        <w:rPr>
          <w:rFonts w:cs="Arial" w:ascii="Arial" w:hAnsi="Arial"/>
          <w:b/>
        </w:rPr>
      </w:r>
    </w:p>
    <w:p>
      <w:pPr>
        <w:pStyle w:val="BodyText"/>
        <w:rPr>
          <w:sz w:val="24"/>
        </w:rPr>
      </w:pPr>
      <w:r>
        <w:rPr>
          <w:sz w:val="24"/>
        </w:rPr>
        <w:t>At least three of contracts (Sempra, Constellation, and Coral) have "Gun-To-The-Head" provisions: Small amounts of expensive electricity this summer were traded for larger amounts of long-term power at moderate or high prices.  We agree with the Los Angeles Times August 11th prediction of electricity surpluses:  There are likely to be power surpluses in 2003 and especially 2004.</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t xml:space="preserve">Unless greater flexibility is folded into some of these "take-or-pay" energy contracts, the consequences of these projected surpluses for consumers, the environment, and California's economy could be disastrous. </w:t>
      </w:r>
    </w:p>
    <w:p>
      <w:pPr>
        <w:pStyle w:val="Normal"/>
        <w:ind w:start="720" w:end="0"/>
        <w:rPr>
          <w:rFonts w:ascii="Arial" w:hAnsi="Arial" w:cs="Arial"/>
        </w:rPr>
      </w:pPr>
      <w:r>
        <w:rPr>
          <w:rFonts w:cs="Arial" w:ascii="Arial" w:hAnsi="Arial"/>
        </w:rPr>
      </w:r>
    </w:p>
    <w:p>
      <w:pPr>
        <w:pStyle w:val="BodyTextIndent"/>
        <w:rPr>
          <w:b/>
        </w:rPr>
      </w:pPr>
      <w:r>
        <w:rPr>
          <w:b/>
        </w:rPr>
        <w:t>Specific examples of these  "take-or-pay" energy straightjackets:</w:t>
      </w:r>
    </w:p>
    <w:p>
      <w:pPr>
        <w:pStyle w:val="Normal"/>
        <w:rPr>
          <w:rFonts w:ascii="Arial" w:hAnsi="Arial" w:cs="Arial"/>
          <w:b/>
        </w:rPr>
      </w:pPr>
      <w:r>
        <w:rPr>
          <w:rFonts w:cs="Arial" w:ascii="Arial" w:hAnsi="Arial"/>
          <w:b/>
        </w:rPr>
      </w:r>
    </w:p>
    <w:p>
      <w:pPr>
        <w:pStyle w:val="Normal"/>
        <w:numPr>
          <w:ilvl w:val="0"/>
          <w:numId w:val="4"/>
        </w:numPr>
        <w:rPr>
          <w:rFonts w:ascii="Arial" w:hAnsi="Arial" w:cs="Arial"/>
        </w:rPr>
      </w:pPr>
      <w:r>
        <w:rPr>
          <w:rFonts w:cs="Arial" w:ascii="Arial" w:hAnsi="Arial"/>
          <w:b/>
        </w:rPr>
        <w:t>Constellation's</w:t>
      </w:r>
      <w:r>
        <w:rPr>
          <w:rFonts w:cs="Arial" w:ascii="Arial" w:hAnsi="Arial"/>
        </w:rPr>
        <w:t xml:space="preserve"> 8 ½ year 750-megawatt "take-or-pay" contract for the High Desert project. </w:t>
      </w:r>
    </w:p>
    <w:p>
      <w:pPr>
        <w:pStyle w:val="Normal"/>
        <w:ind w:start="108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b/>
        </w:rPr>
        <w:t>Sempra’s</w:t>
      </w:r>
      <w:r>
        <w:rPr>
          <w:rFonts w:cs="Arial" w:ascii="Arial" w:hAnsi="Arial"/>
        </w:rPr>
        <w:t xml:space="preserve"> 10-year contract delivers small amounts of expensive power in the early years, but balloons to 1900 MW of expensive combined cycle "take-or-pay" power at an 80% capacity factor for eight years. </w:t>
      </w:r>
    </w:p>
    <w:p>
      <w:pPr>
        <w:pStyle w:val="Normal"/>
        <w:rPr>
          <w:rFonts w:ascii="Arial" w:hAnsi="Arial" w:cs="Arial"/>
          <w:b/>
        </w:rPr>
      </w:pPr>
      <w:r>
        <w:rPr>
          <w:rFonts w:cs="Arial" w:ascii="Arial" w:hAnsi="Arial"/>
          <w:b/>
        </w:rPr>
      </w:r>
    </w:p>
    <w:p>
      <w:pPr>
        <w:pStyle w:val="Normal"/>
        <w:numPr>
          <w:ilvl w:val="0"/>
          <w:numId w:val="4"/>
        </w:numPr>
        <w:rPr>
          <w:rFonts w:ascii="Arial" w:hAnsi="Arial" w:cs="Arial"/>
        </w:rPr>
      </w:pPr>
      <w:r>
        <w:rPr>
          <w:rFonts w:cs="Arial" w:ascii="Arial" w:hAnsi="Arial"/>
          <w:b/>
        </w:rPr>
        <w:t>Pacificorp’s (Scottish Power)</w:t>
      </w:r>
      <w:r>
        <w:rPr>
          <w:rFonts w:cs="Arial" w:ascii="Arial" w:hAnsi="Arial"/>
        </w:rPr>
        <w:t xml:space="preserve"> expensive ten-year contract is a mystery.  It was signed on July 6, 2001,just weeks after the FERC price cap decision brought down prices.  It was signed at the very time energy experts were becoming worried about the possibility of electricity surpluses (and just days before the publication of the Los Angeles Times analysis (August 11</w:t>
      </w:r>
      <w:r>
        <w:rPr>
          <w:rFonts w:cs="Arial" w:ascii="Arial" w:hAnsi="Arial"/>
          <w:vertAlign w:val="superscript"/>
        </w:rPr>
        <w:t>th</w:t>
      </w:r>
      <w:r>
        <w:rPr>
          <w:rFonts w:cs="Arial" w:ascii="Arial" w:hAnsi="Arial"/>
        </w:rPr>
        <w:t>) concluded that the state may have purchased too much power.)</w:t>
      </w:r>
    </w:p>
    <w:p>
      <w:pPr>
        <w:pStyle w:val="Normal"/>
        <w:rPr>
          <w:rFonts w:ascii="Arial" w:hAnsi="Arial" w:cs="Arial"/>
          <w:b/>
          <w:strike/>
        </w:rPr>
      </w:pPr>
      <w:r>
        <w:rPr>
          <w:rFonts w:cs="Arial" w:ascii="Arial" w:hAnsi="Arial"/>
          <w:b/>
          <w:strike/>
        </w:rPr>
      </w:r>
    </w:p>
    <w:p>
      <w:pPr>
        <w:pStyle w:val="Normal"/>
        <w:numPr>
          <w:ilvl w:val="0"/>
          <w:numId w:val="4"/>
        </w:numPr>
        <w:rPr>
          <w:rFonts w:ascii="Arial" w:hAnsi="Arial" w:cs="Arial"/>
        </w:rPr>
      </w:pPr>
      <w:r>
        <w:rPr>
          <w:rFonts w:cs="Arial" w:ascii="Arial" w:hAnsi="Arial"/>
          <w:b/>
        </w:rPr>
        <w:t>Alliance Colton’s</w:t>
      </w:r>
      <w:r>
        <w:rPr>
          <w:rFonts w:cs="Arial" w:ascii="Arial" w:hAnsi="Arial"/>
        </w:rPr>
        <w:t xml:space="preserve"> expensive "peaker" contract contains "take-or-pay" provisions in 2003-2004 that could waste 1.6 BCF of gas and increase carbon emissions by 100,000 tons over that two-year period when compared against ordinary gas-fired steam generation.  After 2005, this one-sided fixed price contract has the opposite problem. It limits CDWR's flexibility to use peaking generation.  It requires CDWR identify its need for more than 1000 hours of peaking power </w:t>
      </w:r>
      <w:r>
        <w:rPr>
          <w:rFonts w:cs="Arial" w:ascii="Arial" w:hAnsi="Arial"/>
          <w:u w:val="single"/>
        </w:rPr>
        <w:t>by December of the previous year</w:t>
      </w:r>
      <w:r>
        <w:rPr>
          <w:rFonts w:cs="Arial" w:ascii="Arial" w:hAnsi="Arial"/>
        </w:rPr>
        <w:t xml:space="preserve"> and charges 15 cents per kWh on a "take-or-pay" basis for the right to generate that power in addition to the capacity payment paid by CDWR and the project's fuel cost.</w:t>
      </w:r>
    </w:p>
    <w:p>
      <w:pPr>
        <w:pStyle w:val="Normal"/>
        <w:rPr>
          <w:rFonts w:ascii="Arial" w:hAnsi="Arial" w:cs="Arial"/>
          <w:strike/>
        </w:rPr>
      </w:pPr>
      <w:r>
        <w:rPr>
          <w:rFonts w:cs="Arial" w:ascii="Arial" w:hAnsi="Arial"/>
          <w:strike/>
        </w:rPr>
      </w:r>
    </w:p>
    <w:p>
      <w:pPr>
        <w:pStyle w:val="Heading3"/>
        <w:rPr/>
      </w:pPr>
      <w:r>
        <w:rPr/>
        <w:t>Too Expensive Power</w:t>
      </w:r>
    </w:p>
    <w:p>
      <w:pPr>
        <w:pStyle w:val="Normal"/>
        <w:rPr>
          <w:rFonts w:ascii="Arial" w:hAnsi="Arial" w:cs="Arial"/>
          <w:b/>
        </w:rPr>
      </w:pPr>
      <w:r>
        <w:rPr>
          <w:rFonts w:cs="Arial" w:ascii="Arial" w:hAnsi="Arial"/>
          <w:b/>
        </w:rPr>
      </w:r>
    </w:p>
    <w:p>
      <w:pPr>
        <w:pStyle w:val="Normal"/>
        <w:numPr>
          <w:ilvl w:val="0"/>
          <w:numId w:val="3"/>
        </w:numPr>
        <w:tabs>
          <w:tab w:val="clear" w:pos="720"/>
          <w:tab w:val="left" w:pos="1080" w:leader="none"/>
        </w:tabs>
        <w:autoSpaceDE w:val="false"/>
        <w:ind w:hanging="360" w:start="1080" w:end="0"/>
        <w:rPr>
          <w:rFonts w:ascii="Arial" w:hAnsi="Arial" w:cs="Arial"/>
        </w:rPr>
      </w:pPr>
      <w:r>
        <w:rPr>
          <w:rFonts w:cs="Arial" w:ascii="Arial" w:hAnsi="Arial"/>
          <w:b/>
        </w:rPr>
        <w:t xml:space="preserve">Sempra’s </w:t>
      </w:r>
      <w:r>
        <w:rPr>
          <w:rFonts w:cs="Arial" w:ascii="Arial" w:hAnsi="Arial"/>
          <w:bCs/>
        </w:rPr>
        <w:t>contract</w:t>
      </w:r>
      <w:r>
        <w:rPr>
          <w:rFonts w:cs="Arial" w:ascii="Arial" w:hAnsi="Arial"/>
        </w:rPr>
        <w:t xml:space="preserve"> is clearly the worst state power contract.  It is a de facto bailout of Sempra's subsidiary, San Diego Gas and Electric (SDG&amp;E), dwarfing any alleged concessions made by SDG&amp;E to pay off the ratepayer </w:t>
      </w:r>
      <w:r>
        <w:rPr>
          <w:rFonts w:cs="Arial" w:ascii="Arial" w:hAnsi="Arial"/>
          <w:szCs w:val="20"/>
        </w:rPr>
        <w:t>"balancing account."  The contract costs $1.2 billion more than the CEC has estimated that unregulated power should cost.  Moreover, the contract has a price structure that exposes ratepayers to short-term costs and long-term risks at the same time.  The contract's short-term high fixed prices prevent ratepayers from benefiting from near-term reductions in gas prices from their recent stratospheric levels.  At the same time, the contract's terms shift the entire risk of rising gas prices to ratepayers for nine years starting in 2003, when the short-term decline is likely to bottom out and head toward a long-term increase.</w:t>
      </w:r>
    </w:p>
    <w:p>
      <w:pPr>
        <w:pStyle w:val="Normal"/>
        <w:ind w:start="360" w:end="0"/>
        <w:rPr>
          <w:rFonts w:ascii="Arial" w:hAnsi="Arial" w:cs="Arial"/>
          <w:strike/>
        </w:rPr>
      </w:pPr>
      <w:r>
        <w:rPr>
          <w:rFonts w:cs="Arial" w:ascii="Arial" w:hAnsi="Arial"/>
          <w:strike/>
        </w:rPr>
      </w:r>
    </w:p>
    <w:p>
      <w:pPr>
        <w:pStyle w:val="Normal"/>
        <w:numPr>
          <w:ilvl w:val="0"/>
          <w:numId w:val="5"/>
        </w:numPr>
        <w:rPr>
          <w:rFonts w:ascii="Arial" w:hAnsi="Arial" w:cs="Arial"/>
        </w:rPr>
      </w:pPr>
      <w:r>
        <w:rPr>
          <w:rFonts w:cs="Arial" w:ascii="Arial" w:hAnsi="Arial"/>
          <w:b/>
        </w:rPr>
        <w:t xml:space="preserve">Calpine's </w:t>
      </w:r>
      <w:r>
        <w:rPr>
          <w:rFonts w:cs="Arial" w:ascii="Arial" w:hAnsi="Arial"/>
          <w:bCs/>
        </w:rPr>
        <w:t>peaker contract</w:t>
      </w:r>
      <w:r>
        <w:rPr>
          <w:rFonts w:cs="Arial" w:ascii="Arial" w:hAnsi="Arial"/>
        </w:rPr>
        <w:t xml:space="preserve"> guarantees a 20-year 32% return on investment. Calpine's Los Esteros contract gives CDWR power for three years before dedicating the plant to US Dataport, a server farm.  During that three-year period, the capacity payments cover virtually all of the capital cost of building the plant despite the fact that the plant will have a life of 30 years or more. </w:t>
      </w:r>
    </w:p>
    <w:p>
      <w:pPr>
        <w:pStyle w:val="Footer"/>
        <w:tabs>
          <w:tab w:val="clear" w:pos="4320"/>
          <w:tab w:val="clear" w:pos="8640"/>
        </w:tabs>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b/>
        </w:rPr>
        <w:t xml:space="preserve">Williams Energy </w:t>
      </w:r>
      <w:r>
        <w:rPr>
          <w:rFonts w:cs="Arial" w:ascii="Arial" w:hAnsi="Arial"/>
        </w:rPr>
        <w:t>not only got a $8/MWh higher price than Allegheny for power from the same three old dirty gas plants in Southern California (AES-Alamitos, AES-Huntington Beach, and AES-Redondo Beach), but Williams was paid more despite offering less reliable power than Allegheny (70% reliability versus 90%).</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Too Dirty: Old Highly Polluting Gas-Fired Plants</w:t>
      </w:r>
    </w:p>
    <w:p>
      <w:pPr>
        <w:pStyle w:val="Normal"/>
        <w:rPr>
          <w:rFonts w:ascii="Arial" w:hAnsi="Arial" w:cs="Arial"/>
          <w:b/>
        </w:rPr>
      </w:pPr>
      <w:r>
        <w:rPr>
          <w:rFonts w:cs="Arial" w:ascii="Arial" w:hAnsi="Arial"/>
          <w:b/>
        </w:rPr>
      </w:r>
    </w:p>
    <w:p>
      <w:pPr>
        <w:pStyle w:val="Normal"/>
        <w:numPr>
          <w:ilvl w:val="0"/>
          <w:numId w:val="2"/>
        </w:numPr>
        <w:rPr>
          <w:rFonts w:ascii="Arial" w:hAnsi="Arial" w:cs="Arial"/>
        </w:rPr>
      </w:pPr>
      <w:r>
        <w:rPr>
          <w:rFonts w:cs="Arial" w:ascii="Arial" w:hAnsi="Arial"/>
          <w:b/>
        </w:rPr>
        <w:t>Mirant</w:t>
      </w:r>
      <w:r>
        <w:rPr>
          <w:rFonts w:cs="Arial" w:ascii="Arial" w:hAnsi="Arial"/>
        </w:rPr>
        <w:t xml:space="preserve"> is being sued over the operations of uncontrolled peaking generation at Potrero Hill in San Francisco.  The California ISO is refusing to allow Mirant to shutdown and repower its 600 MW at Pittsburg to meet clean air requirements in place since before Mirant bought the power plants.  Mirant is threatening to shut down over 600 MW of generation at Pittsburg if pollution control requirements taking effect in 2002 are not waived.  Nevertheless, Mirant received a 500 MW CDWR contract for two years at nearly 15 cents/kWh (total payments over $700 million) from June 2001 through December 2002.</w:t>
      </w:r>
    </w:p>
    <w:p>
      <w:pPr>
        <w:pStyle w:val="Normal"/>
        <w:ind w:start="720" w:end="0"/>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rPr>
        <w:t>Williams-Allegheny-AES</w:t>
      </w:r>
      <w:r>
        <w:rPr>
          <w:rFonts w:cs="Arial" w:ascii="Arial" w:hAnsi="Arial"/>
          <w:b/>
          <w:bCs/>
        </w:rPr>
        <w:t>:</w:t>
      </w:r>
      <w:r>
        <w:rPr>
          <w:rFonts w:cs="Arial" w:ascii="Arial" w:hAnsi="Arial"/>
        </w:rPr>
        <w:t xml:space="preserve"> Why did CDWR sign 10-year contracts on a non-dispatchable "take-or-pay" basis, rather than shorter and more dispatchable contracts, for old, polluting, inefficient power generated in the Los Angeles Basin?</w:t>
      </w:r>
    </w:p>
    <w:p>
      <w:pPr>
        <w:pStyle w:val="Normal"/>
        <w:rPr>
          <w:rFonts w:ascii="Arial" w:hAnsi="Arial" w:cs="Arial"/>
          <w:b/>
        </w:rPr>
      </w:pPr>
      <w:r>
        <w:rPr>
          <w:rFonts w:cs="Arial" w:ascii="Arial" w:hAnsi="Arial"/>
          <w:b/>
        </w:rPr>
      </w:r>
    </w:p>
    <w:p>
      <w:pPr>
        <w:pStyle w:val="Normal"/>
        <w:numPr>
          <w:ilvl w:val="0"/>
          <w:numId w:val="2"/>
        </w:numPr>
        <w:rPr>
          <w:rFonts w:ascii="Arial" w:hAnsi="Arial" w:cs="Arial"/>
        </w:rPr>
      </w:pPr>
      <w:r>
        <w:rPr>
          <w:rFonts w:cs="Arial" w:ascii="Arial" w:hAnsi="Arial"/>
          <w:b/>
        </w:rPr>
        <w:t>Dynegy:</w:t>
      </w:r>
      <w:r>
        <w:rPr>
          <w:rFonts w:cs="Arial" w:ascii="Arial" w:hAnsi="Arial"/>
        </w:rPr>
        <w:t xml:space="preserve"> </w:t>
      </w:r>
      <w:r>
        <w:rPr>
          <w:rFonts w:cs="Arial" w:ascii="Arial" w:hAnsi="Arial"/>
          <w:b/>
        </w:rPr>
        <w:t>State, Not Polluter, Pays</w:t>
      </w:r>
      <w:r>
        <w:rPr>
          <w:rFonts w:cs="Arial" w:ascii="Arial" w:hAnsi="Arial"/>
        </w:rPr>
        <w:t xml:space="preserve"> The contract is for only five years but, unlike most other contracts, CDWR assumes 100% of the risks of paying for pollution credits for its plants, even though the contract states that Dynegy and CDWR both recognize that Dynegy had run out of emissions credits.  The contract also requires the state to pay extra if pollution control hardware is installed.</w:t>
      </w:r>
    </w:p>
    <w:p>
      <w:pPr>
        <w:pStyle w:val="Normal"/>
        <w:rPr>
          <w:rFonts w:ascii="Arial" w:hAnsi="Arial" w:cs="Arial"/>
          <w:b/>
        </w:rPr>
      </w:pPr>
      <w:r>
        <w:rPr>
          <w:rFonts w:cs="Arial" w:ascii="Arial" w:hAnsi="Arial"/>
          <w:b/>
        </w:rPr>
      </w:r>
    </w:p>
    <w:p>
      <w:pPr>
        <w:pStyle w:val="Normal"/>
        <w:numPr>
          <w:ilvl w:val="0"/>
          <w:numId w:val="2"/>
        </w:numPr>
        <w:rPr>
          <w:rFonts w:ascii="Arial" w:hAnsi="Arial" w:cs="Arial"/>
        </w:rPr>
      </w:pPr>
      <w:r>
        <w:rPr>
          <w:rFonts w:cs="Arial" w:ascii="Arial" w:hAnsi="Arial"/>
          <w:b/>
        </w:rPr>
        <w:t>Alliance Colton:</w:t>
      </w:r>
      <w:r>
        <w:rPr>
          <w:rFonts w:cs="Arial" w:ascii="Arial" w:hAnsi="Arial"/>
        </w:rPr>
        <w:t xml:space="preserve"> While this is a "peaker" project, the contract contains "take-or- pay" provisions in 2003 and 2004 that could waste 1.6 billion cubic feet of gas and increase carbon dioxide emissions by 100,000 tons over that two year period, relative to ordinary gas-fired steam generation.</w:t>
      </w:r>
    </w:p>
    <w:p>
      <w:pPr>
        <w:pStyle w:val="Normal"/>
        <w:rPr>
          <w:rFonts w:ascii="Arial" w:hAnsi="Arial" w:cs="Arial"/>
        </w:rPr>
      </w:pPr>
      <w:r>
        <w:rPr>
          <w:rFonts w:cs="Arial" w:ascii="Arial" w:hAnsi="Arial"/>
        </w:rPr>
      </w:r>
    </w:p>
    <w:p>
      <w:pPr>
        <w:pStyle w:val="Heading1"/>
        <w:ind w:hanging="0" w:start="0"/>
        <w:rPr>
          <w:rFonts w:ascii="Arial" w:hAnsi="Arial" w:cs="Arial"/>
          <w:i/>
          <w:i/>
          <w:u w:val="single"/>
        </w:rPr>
      </w:pPr>
      <w:r>
        <w:rPr>
          <w:rFonts w:cs="Arial" w:ascii="Arial" w:hAnsi="Arial"/>
          <w:i/>
          <w:u w:val="single"/>
        </w:rPr>
        <w:t>Legal and Political Uncertainties Cast a Cloud Over These Contracts</w:t>
      </w:r>
    </w:p>
    <w:p>
      <w:pPr>
        <w:pStyle w:val="Normal"/>
        <w:ind w:start="720" w:end="0"/>
        <w:rPr>
          <w:rFonts w:ascii="Arial" w:hAnsi="Arial" w:cs="Arial"/>
          <w:i/>
          <w:i/>
          <w:u w:val="single"/>
        </w:rPr>
      </w:pPr>
      <w:r>
        <w:rPr>
          <w:rFonts w:cs="Arial" w:ascii="Arial" w:hAnsi="Arial"/>
          <w:i/>
          <w:u w:val="single"/>
        </w:rPr>
      </w:r>
    </w:p>
    <w:p>
      <w:pPr>
        <w:pStyle w:val="Normal"/>
        <w:rPr/>
      </w:pPr>
      <w:r>
        <w:rPr>
          <w:rFonts w:cs="Arial" w:ascii="Arial" w:hAnsi="Arial"/>
        </w:rPr>
        <w:t>Despite your personal appeal, the Federal Energy Regulatory Commission (FERC) in December eliminated price caps and created the opportunity for power generators to extort huge, unjustified prices in the wholesale market.  Given FERC's failure to protect California from the generators' market power from January 2001 to June 2001, we believe some of the contracts may have been negotiated under economic duress.  FERC finally followed your urging and, on June 19</w:t>
      </w:r>
      <w:r>
        <w:rPr>
          <w:rFonts w:cs="Arial" w:ascii="Arial" w:hAnsi="Arial"/>
          <w:vertAlign w:val="superscript"/>
        </w:rPr>
        <w:t>th</w:t>
      </w:r>
      <w:r>
        <w:rPr>
          <w:rFonts w:cs="Arial" w:ascii="Arial" w:hAnsi="Arial"/>
        </w:rPr>
        <w:t xml:space="preserve">, adopted wholesale price caps. These price caps have reduced market power abuse and helped to stabilize the electricity markets.  </w:t>
      </w:r>
    </w:p>
    <w:p>
      <w:pPr>
        <w:pStyle w:val="Normal"/>
        <w:ind w:start="720" w:end="0"/>
        <w:rPr>
          <w:rFonts w:ascii="Arial" w:hAnsi="Arial" w:cs="Arial"/>
        </w:rPr>
      </w:pPr>
      <w:r>
        <w:rPr>
          <w:rFonts w:cs="Arial" w:ascii="Arial" w:hAnsi="Arial"/>
        </w:rPr>
      </w:r>
    </w:p>
    <w:p>
      <w:pPr>
        <w:pStyle w:val="Normal"/>
        <w:rPr/>
      </w:pPr>
      <w:r>
        <w:rPr>
          <w:rFonts w:cs="Arial" w:ascii="Arial" w:hAnsi="Arial"/>
        </w:rPr>
        <w:t>CEERT offers to assist in providing relief from some of these "Gun-To-The-Head" contracts entered into during the period of market power abuse prior to the FERC June 19</w:t>
      </w:r>
      <w:r>
        <w:rPr>
          <w:rFonts w:cs="Arial" w:ascii="Arial" w:hAnsi="Arial"/>
          <w:vertAlign w:val="superscript"/>
        </w:rPr>
        <w:t>th</w:t>
      </w:r>
      <w:r>
        <w:rPr>
          <w:rFonts w:cs="Arial" w:ascii="Arial" w:hAnsi="Arial"/>
        </w:rPr>
        <w:t xml:space="preserve"> decision.  CDWR’s support for such a petition could be crucial to its success.</w:t>
      </w:r>
    </w:p>
    <w:p>
      <w:pPr>
        <w:pStyle w:val="Normal"/>
        <w:ind w:start="720" w:end="0"/>
        <w:rPr>
          <w:rFonts w:ascii="Arial" w:hAnsi="Arial" w:cs="Arial"/>
        </w:rPr>
      </w:pPr>
      <w:r>
        <w:rPr>
          <w:rFonts w:cs="Arial" w:ascii="Arial" w:hAnsi="Arial"/>
        </w:rPr>
      </w:r>
    </w:p>
    <w:p>
      <w:pPr>
        <w:pStyle w:val="Heading1"/>
        <w:ind w:hanging="0" w:start="720" w:end="0"/>
        <w:rPr/>
      </w:pPr>
      <w:r>
        <w:rPr>
          <w:rFonts w:cs="Arial" w:ascii="Arial" w:hAnsi="Arial"/>
        </w:rPr>
        <w:t xml:space="preserve">Failure to Conduct Reasonableness Review-- </w:t>
      </w:r>
      <w:r>
        <w:rPr>
          <w:rFonts w:cs="Arial" w:ascii="Arial" w:hAnsi="Arial"/>
          <w:b w:val="false"/>
        </w:rPr>
        <w:t xml:space="preserve">The provisions of AB 1X required CDWR to carry out the CPUC's constitutional responsibility to ensure that the contracts are just and reasonable. However, last month, CDWR's attorney testified before the Senate Energy Committee that no such review was ever conducted as required by law.  </w:t>
      </w:r>
    </w:p>
    <w:p>
      <w:pPr>
        <w:pStyle w:val="Heading1"/>
        <w:ind w:hanging="0" w:start="720" w:end="0"/>
        <w:rPr>
          <w:rFonts w:ascii="Arial" w:hAnsi="Arial" w:cs="Arial"/>
          <w:b w:val="false"/>
        </w:rPr>
      </w:pPr>
      <w:r>
        <w:rPr>
          <w:rFonts w:cs="Arial" w:ascii="Arial" w:hAnsi="Arial"/>
          <w:b w:val="false"/>
        </w:rPr>
      </w:r>
    </w:p>
    <w:p>
      <w:pPr>
        <w:pStyle w:val="Normal"/>
        <w:rPr>
          <w:rFonts w:ascii="Arial" w:hAnsi="Arial" w:cs="Arial"/>
          <w:b/>
        </w:rPr>
      </w:pPr>
      <w:r>
        <w:rPr>
          <w:rFonts w:cs="Arial" w:ascii="Arial" w:hAnsi="Arial"/>
          <w:b/>
        </w:rPr>
      </w:r>
    </w:p>
    <w:p>
      <w:pPr>
        <w:pStyle w:val="Normal"/>
        <w:rPr/>
      </w:pPr>
      <w:r>
        <w:rPr/>
      </w:r>
    </w:p>
    <w:p>
      <w:pPr>
        <w:pStyle w:val="Normal"/>
        <w:rPr/>
      </w:pPr>
      <w:r>
        <w:rPr/>
      </w:r>
    </w:p>
    <w:p>
      <w:pPr>
        <w:pStyle w:val="Heading1"/>
        <w:ind w:hanging="0" w:start="720" w:end="0"/>
        <w:rPr/>
      </w:pPr>
      <w:r>
        <w:rPr>
          <w:rFonts w:cs="Arial" w:ascii="Arial" w:hAnsi="Arial"/>
        </w:rPr>
        <w:t xml:space="preserve">Potential Conflict of Interest Violations-- </w:t>
      </w:r>
      <w:r>
        <w:rPr>
          <w:rFonts w:cs="Arial" w:ascii="Arial" w:hAnsi="Arial"/>
          <w:b w:val="false"/>
        </w:rPr>
        <w:t>The Attorney General and the Fair Political Practices Commission are investigating allegations involving possible violations of the state’s conflict of interest laws. Should any of the consultants currently under investigation be found to have violated state conflict of interest laws, the contracts those consultants participated in could be voided.</w:t>
      </w:r>
    </w:p>
    <w:p>
      <w:pPr>
        <w:pStyle w:val="Heading1"/>
        <w:ind w:hanging="0" w:start="720" w:end="0"/>
        <w:rPr>
          <w:rFonts w:ascii="Arial" w:hAnsi="Arial" w:cs="Arial"/>
          <w:b w:val="false"/>
        </w:rPr>
      </w:pPr>
      <w:r>
        <w:rPr>
          <w:rFonts w:cs="Arial" w:ascii="Arial" w:hAnsi="Arial"/>
          <w:b w:val="false"/>
        </w:rPr>
      </w:r>
    </w:p>
    <w:p>
      <w:pPr>
        <w:pStyle w:val="Heading1"/>
        <w:ind w:hanging="0" w:start="0"/>
        <w:rPr/>
      </w:pPr>
      <w:r>
        <w:rPr>
          <w:rFonts w:cs="Arial" w:ascii="Arial" w:hAnsi="Arial"/>
          <w:i/>
          <w:u w:val="single"/>
        </w:rPr>
        <w:t>A Call for Voluntary Renegotiations</w:t>
      </w:r>
      <w:r>
        <w:rPr>
          <w:rFonts w:cs="Arial" w:ascii="Arial" w:hAnsi="Arial"/>
          <w:b w:val="false"/>
          <w:i/>
          <w:u w:val="single"/>
        </w:rPr>
        <w:t xml:space="preserve">  </w:t>
      </w:r>
    </w:p>
    <w:p>
      <w:pPr>
        <w:pStyle w:val="Normal"/>
        <w:ind w:start="1440" w:end="0"/>
        <w:rPr>
          <w:rFonts w:ascii="Arial" w:hAnsi="Arial" w:cs="Arial"/>
          <w:b/>
          <w:i/>
          <w:i/>
          <w:u w:val="single"/>
        </w:rPr>
      </w:pPr>
      <w:r>
        <w:rPr>
          <w:rFonts w:cs="Arial" w:ascii="Arial" w:hAnsi="Arial"/>
          <w:b/>
          <w:i/>
          <w:u w:val="single"/>
        </w:rPr>
      </w:r>
    </w:p>
    <w:p>
      <w:pPr>
        <w:pStyle w:val="BodyTextIndent"/>
        <w:ind w:start="0" w:end="0"/>
        <w:rPr/>
      </w:pPr>
      <w:r>
        <w:rPr/>
        <w:t xml:space="preserve">The seeds of bailout and the failures of AB 1890 were sown by California's inability to formulate a sustainable state energy policy.  Some of these electricity contracts---especially the worst of them--- represent a de facto state energy policy.  It is a policy that sets California on a path to greater reliance on expensive, dirty old fossil fuels and promises of more bailouts.  It is a policy that must be righted.  </w:t>
      </w:r>
    </w:p>
    <w:p>
      <w:pPr>
        <w:pStyle w:val="BodyTextIndent"/>
        <w:ind w:start="0" w:end="0"/>
        <w:rPr/>
      </w:pPr>
      <w:r>
        <w:rPr/>
      </w:r>
    </w:p>
    <w:p>
      <w:pPr>
        <w:pStyle w:val="BodyTextIndent"/>
        <w:ind w:start="0" w:end="0"/>
        <w:rPr/>
      </w:pPr>
      <w:r>
        <w:rPr/>
        <w:t>We recognize that, in signing these contracts, the Davis Administration took long overdue action to insulate residential and small commercial customers from the volatility of the commodities-like market in electricity.  We are not opposed to most of the long-term contracts.  We do, however, believe that even in some of the best contracts there are “Take-or-Pay” and other potentially abusive provisions that should be renegotiated.  Given the uncertainties surrounding these contracts, this is the perfect time to seek voluntary changes to reduce costs to consumers and these straightjacket “take-or-pay” agreements. Unless changes are made in these contracts, private and public investment for the next decade in clean, renewable energy will be jeopardized.</w:t>
      </w:r>
    </w:p>
    <w:p>
      <w:pPr>
        <w:pStyle w:val="BodyTextIndent"/>
        <w:ind w:start="0" w:end="0"/>
        <w:rPr/>
      </w:pPr>
      <w:r>
        <w:rPr/>
      </w:r>
    </w:p>
    <w:p>
      <w:pPr>
        <w:pStyle w:val="BodyTextIndent"/>
        <w:ind w:start="0" w:end="0"/>
        <w:rPr/>
      </w:pPr>
      <w:r>
        <w:rPr/>
        <w:t>The only financial security possible under these public contracts is a security rooted in the public interest and which protects consumers and the environment.  It is not in the interest of either the power companies or the state to allow this emerging controversy to go on for years in litigation, investigations, and initiative contests.  Over the next few weeks and months, CEERT will be focusing in greater detail on individual contracts and requesting specific voluntary adjustments and renegotiation of overly inflexible and expensive contracts and a reduced reliance on old polluting fossil fuel plants.  It is time for reasonable people to recognize the public's need for justice.  We ask for your support and leadership in this effort.</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Sincerely,</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V. John White</w:t>
      </w:r>
    </w:p>
    <w:p>
      <w:pPr>
        <w:pStyle w:val="Normal"/>
        <w:rPr>
          <w:rFonts w:ascii="Arial" w:hAnsi="Arial" w:cs="Arial"/>
        </w:rPr>
      </w:pPr>
      <w:r>
        <w:rPr>
          <w:rFonts w:cs="Arial" w:ascii="Arial" w:hAnsi="Arial"/>
        </w:rPr>
        <w:t>Executive Director</w:t>
      </w:r>
    </w:p>
    <w:sectPr>
      <w:footerReference w:type="default" r:id="rId2"/>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MingLiU">
    <w:altName w:val="新細明體"/>
    <w:charset w:val="88"/>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lvl w:ilvl="1">
      <w:start w:val="1"/>
      <w:numFmt w:val="bullet"/>
      <w:lvlText w:val="~"/>
      <w:lvlJc w:val="start"/>
      <w:pPr>
        <w:tabs>
          <w:tab w:val="num" w:pos="1440"/>
        </w:tabs>
        <w:ind w:start="1440" w:hanging="360"/>
      </w:pPr>
      <w:rPr>
        <w:rFonts w:ascii="PMingLiU" w:hAnsi="PMingLiU" w:cs="PMingLiU"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PMingLiU" w:hAnsi="PMingLiU" w:cs="PMingLiU"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rFonts w:ascii="Arial" w:hAnsi="Arial" w:cs="Arial"/>
      <w:b/>
      <w:bCs/>
    </w:rPr>
  </w:style>
  <w:style w:type="paragraph" w:styleId="Heading3">
    <w:name w:val="heading 3"/>
    <w:basedOn w:val="Normal"/>
    <w:next w:val="Normal"/>
    <w:qFormat/>
    <w:pPr>
      <w:keepNext w:val="true"/>
      <w:numPr>
        <w:ilvl w:val="2"/>
        <w:numId w:val="1"/>
      </w:numPr>
      <w:ind w:hanging="0" w:start="360" w:end="0"/>
      <w:outlineLvl w:val="2"/>
    </w:pPr>
    <w:rPr>
      <w:rFonts w:ascii="Arial" w:hAnsi="Arial" w:cs="Arial"/>
      <w:b/>
      <w:bCs/>
    </w:rPr>
  </w:style>
  <w:style w:type="paragraph" w:styleId="Heading4">
    <w:name w:val="heading 4"/>
    <w:basedOn w:val="Normal"/>
    <w:next w:val="Normal"/>
    <w:qFormat/>
    <w:pPr>
      <w:keepNext w:val="true"/>
      <w:numPr>
        <w:ilvl w:val="3"/>
        <w:numId w:val="1"/>
      </w:numPr>
      <w:outlineLvl w:val="3"/>
    </w:pPr>
    <w:rPr>
      <w:rFonts w:ascii="Arial" w:hAnsi="Arial" w:cs="Arial"/>
      <w:b/>
      <w:bCs/>
      <w:i/>
      <w:iCs/>
      <w:u w:val="single"/>
    </w:rPr>
  </w:style>
  <w:style w:type="character" w:styleId="WW8Num1z0">
    <w:name w:val="WW8Num1z0"/>
    <w:qFormat/>
    <w:rPr>
      <w:rFonts w:ascii="Symbol" w:hAnsi="Symbol" w:cs="Symbol"/>
    </w:rPr>
  </w:style>
  <w:style w:type="character" w:styleId="WW8Num1z1">
    <w:name w:val="WW8Num1z1"/>
    <w:qFormat/>
    <w:rPr>
      <w:rFonts w:ascii="PMingLiU;新細明體" w:hAnsi="PMingLiU;新細明體" w:eastAsia="PMingLiU;新細明體"/>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PMingLiU;新細明體" w:hAnsi="PMingLiU;新細明體" w:eastAsia="PMingLiU;新細明體"/>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rPr>
  </w:style>
  <w:style w:type="paragraph" w:styleId="BodyTextIndent2">
    <w:name w:val="Body Text Indent 2"/>
    <w:basedOn w:val="Normal"/>
    <w:qFormat/>
    <w:pPr>
      <w:ind w:hanging="0" w:start="1440" w:end="0"/>
    </w:pPr>
    <w:rPr>
      <w:rFonts w:ascii="Arial" w:hAnsi="Arial" w:cs="Arial"/>
    </w:rPr>
  </w:style>
  <w:style w:type="paragraph" w:styleId="BodyTextIndent3">
    <w:name w:val="Body Text Indent 3"/>
    <w:basedOn w:val="Normal"/>
    <w:qFormat/>
    <w:pPr>
      <w:ind w:hanging="0" w:start="36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180"/>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2001-09-11T20:37:00Z</dcterms:created>
  <dc:creator>home</dc:creator>
  <dc:description/>
  <dc:language>en-CA</dc:language>
  <cp:lastModifiedBy>Rachel</cp:lastModifiedBy>
  <cp:lastPrinted>2001-09-11T15:26:00Z</cp:lastPrinted>
  <dcterms:modified xsi:type="dcterms:W3CDTF">2001-09-11T20:40:00Z</dcterms:modified>
  <cp:revision>4</cp:revision>
  <dc:subject/>
  <dc:title>September 5, 2001</dc:title>
</cp:coreProperties>
</file>