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suppressAutoHyphens w:val="true"/>
        <w:jc w:val="both"/>
        <w:rPr>
          <w:spacing w:val="-3"/>
          <w:sz w:val="24"/>
        </w:rPr>
      </w:pPr>
      <w:r>
        <w:rPr>
          <w:spacing w:val="-3"/>
          <w:sz w:val="24"/>
        </w:rPr>
        <w:tab/>
        <w:tab/>
        <w:tab/>
        <w:tab/>
        <w:tab/>
        <w:tab/>
        <w:tab/>
        <w:t xml:space="preserve">MINUTES of the meeting of the </w:t>
        <w:tab/>
        <w:tab/>
        <w:tab/>
        <w:tab/>
        <w:tab/>
        <w:tab/>
        <w:tab/>
        <w:tab/>
        <w:tab/>
        <w:t xml:space="preserve">BOARD OF DIRECTORS of the </w:t>
      </w:r>
    </w:p>
    <w:p>
      <w:pPr>
        <w:pStyle w:val="Normal"/>
        <w:tabs>
          <w:tab w:val="clear" w:pos="720"/>
          <w:tab w:val="left" w:pos="0" w:leader="none"/>
        </w:tabs>
        <w:suppressAutoHyphens w:val="true"/>
        <w:jc w:val="both"/>
        <w:rPr>
          <w:spacing w:val="-3"/>
          <w:sz w:val="24"/>
        </w:rPr>
      </w:pPr>
      <w:r>
        <w:rPr>
          <w:spacing w:val="-3"/>
          <w:sz w:val="24"/>
        </w:rPr>
        <w:tab/>
        <w:tab/>
        <w:tab/>
        <w:tab/>
        <w:tab/>
        <w:tab/>
        <w:tab/>
        <w:t xml:space="preserve">INTERNATIONAL SWAPS AND </w:t>
      </w:r>
    </w:p>
    <w:p>
      <w:pPr>
        <w:pStyle w:val="Normal"/>
        <w:tabs>
          <w:tab w:val="clear" w:pos="720"/>
          <w:tab w:val="left" w:pos="0" w:leader="none"/>
        </w:tabs>
        <w:suppressAutoHyphens w:val="true"/>
        <w:jc w:val="both"/>
        <w:rPr>
          <w:sz w:val="24"/>
        </w:rPr>
      </w:pPr>
      <w:r>
        <w:rPr>
          <w:sz w:val="24"/>
        </w:rPr>
        <w:tab/>
        <w:tab/>
        <w:tab/>
        <w:tab/>
        <w:tab/>
        <w:tab/>
        <w:tab/>
        <w:t>DERIVATIVES ASSOCIATION, INC.</w:t>
      </w:r>
    </w:p>
    <w:p>
      <w:pPr>
        <w:pStyle w:val="Normal"/>
        <w:tabs>
          <w:tab w:val="clear" w:pos="720"/>
          <w:tab w:val="left" w:pos="0" w:leader="none"/>
        </w:tabs>
        <w:suppressAutoHyphens w:val="true"/>
        <w:jc w:val="both"/>
        <w:rPr>
          <w:spacing w:val="-3"/>
          <w:sz w:val="24"/>
        </w:rPr>
      </w:pPr>
      <w:r>
        <w:rPr>
          <w:spacing w:val="-3"/>
          <w:sz w:val="24"/>
        </w:rPr>
        <w:tab/>
        <w:tab/>
        <w:tab/>
        <w:tab/>
        <w:tab/>
        <w:tab/>
        <w:tab/>
        <w:t>(The "Association"), held</w:t>
      </w:r>
    </w:p>
    <w:p>
      <w:pPr>
        <w:pStyle w:val="Heading3"/>
        <w:ind w:hanging="0" w:start="0"/>
        <w:rPr/>
      </w:pPr>
      <w:r>
        <w:rPr/>
        <w:tab/>
        <w:tab/>
        <w:tab/>
        <w:tab/>
        <w:tab/>
        <w:tab/>
        <w:tab/>
        <w:t>September 13, 2000</w:t>
      </w:r>
    </w:p>
    <w:p>
      <w:pPr>
        <w:pStyle w:val="Normal"/>
        <w:tabs>
          <w:tab w:val="clear" w:pos="720"/>
          <w:tab w:val="left" w:pos="0" w:leader="none"/>
        </w:tabs>
        <w:suppressAutoHyphens w:val="true"/>
        <w:jc w:val="both"/>
        <w:rPr>
          <w:spacing w:val="-3"/>
          <w:sz w:val="24"/>
        </w:rPr>
      </w:pPr>
      <w:r>
        <w:rPr>
          <w:spacing w:val="-3"/>
          <w:sz w:val="24"/>
        </w:rPr>
      </w:r>
    </w:p>
    <w:p>
      <w:pPr>
        <w:pStyle w:val="Normal"/>
        <w:tabs>
          <w:tab w:val="clear" w:pos="720"/>
          <w:tab w:val="left" w:pos="0" w:leader="none"/>
        </w:tabs>
        <w:suppressAutoHyphens w:val="true"/>
        <w:jc w:val="both"/>
        <w:rPr>
          <w:spacing w:val="-3"/>
          <w:sz w:val="24"/>
        </w:rPr>
      </w:pPr>
      <w:r>
        <w:rPr>
          <w:spacing w:val="-3"/>
          <w:sz w:val="24"/>
        </w:rPr>
      </w:r>
    </w:p>
    <w:p>
      <w:pPr>
        <w:pStyle w:val="BodyText2"/>
        <w:tabs>
          <w:tab w:val="clear" w:pos="720"/>
          <w:tab w:val="left" w:pos="0" w:leader="none"/>
        </w:tabs>
        <w:suppressAutoHyphens w:val="true"/>
        <w:rPr>
          <w:spacing w:val="-3"/>
        </w:rPr>
      </w:pPr>
      <w:r>
        <w:rPr>
          <w:spacing w:val="-3"/>
        </w:rPr>
        <w:t>A meeting of the Board of Directors of the Association was held on September 13, 2000 commencing at 12:00 p.m., local time, hosted by Dresdner Bank at the Schloss Reinhartshausen, Hauptstrasse 41, Erbach im Rheingau, D-65346 Eltville, Germany.  The following directors were present:</w:t>
      </w:r>
    </w:p>
    <w:p>
      <w:pPr>
        <w:pStyle w:val="Normal"/>
        <w:tabs>
          <w:tab w:val="clear" w:pos="720"/>
          <w:tab w:val="left" w:pos="0" w:leader="none"/>
        </w:tabs>
        <w:suppressAutoHyphens w:val="true"/>
        <w:jc w:val="both"/>
        <w:rPr>
          <w:spacing w:val="-3"/>
          <w:sz w:val="24"/>
        </w:rPr>
      </w:pPr>
      <w:r>
        <w:rPr>
          <w:spacing w:val="-3"/>
          <w:sz w:val="24"/>
        </w:rPr>
      </w:r>
    </w:p>
    <w:tbl>
      <w:tblPr>
        <w:tblW w:w="6930" w:type="dxa"/>
        <w:jc w:val="start"/>
        <w:tblInd w:w="1278" w:type="dxa"/>
        <w:tblLayout w:type="fixed"/>
        <w:tblCellMar>
          <w:top w:w="0" w:type="dxa"/>
          <w:start w:w="108" w:type="dxa"/>
          <w:bottom w:w="0" w:type="dxa"/>
          <w:end w:w="108" w:type="dxa"/>
        </w:tblCellMar>
      </w:tblPr>
      <w:tblGrid>
        <w:gridCol w:w="3510"/>
        <w:gridCol w:w="3420"/>
      </w:tblGrid>
      <w:tr>
        <w:trPr/>
        <w:tc>
          <w:tcPr>
            <w:tcW w:w="3510" w:type="dxa"/>
            <w:tcBorders/>
          </w:tcPr>
          <w:p>
            <w:pPr>
              <w:pStyle w:val="Normal"/>
              <w:suppressAutoHyphens w:val="true"/>
              <w:jc w:val="both"/>
              <w:rPr>
                <w:spacing w:val="-3"/>
                <w:sz w:val="24"/>
              </w:rPr>
            </w:pPr>
            <w:r>
              <w:rPr>
                <w:color w:val="000000"/>
                <w:sz w:val="24"/>
                <w:lang w:eastAsia="en-US"/>
              </w:rPr>
              <w:t>Keith Bailey</w:t>
            </w:r>
          </w:p>
        </w:tc>
        <w:tc>
          <w:tcPr>
            <w:tcW w:w="3420" w:type="dxa"/>
            <w:tcBorders/>
          </w:tcPr>
          <w:p>
            <w:pPr>
              <w:pStyle w:val="Normal"/>
              <w:suppressAutoHyphens w:val="true"/>
              <w:jc w:val="both"/>
              <w:rPr>
                <w:spacing w:val="-3"/>
                <w:sz w:val="24"/>
              </w:rPr>
            </w:pPr>
            <w:r>
              <w:rPr>
                <w:color w:val="000000"/>
                <w:sz w:val="24"/>
                <w:lang w:eastAsia="en-US"/>
              </w:rPr>
              <w:t>Kazuhiko Koshikawa</w:t>
            </w:r>
          </w:p>
        </w:tc>
      </w:tr>
      <w:tr>
        <w:trPr/>
        <w:tc>
          <w:tcPr>
            <w:tcW w:w="3510" w:type="dxa"/>
            <w:tcBorders/>
          </w:tcPr>
          <w:p>
            <w:pPr>
              <w:pStyle w:val="Normal"/>
              <w:rPr>
                <w:spacing w:val="-3"/>
                <w:sz w:val="24"/>
              </w:rPr>
            </w:pPr>
            <w:r>
              <w:rPr>
                <w:color w:val="000000"/>
                <w:sz w:val="24"/>
                <w:lang w:eastAsia="en-US"/>
              </w:rPr>
              <w:t>Douglas Bongartz-Renaud</w:t>
            </w:r>
          </w:p>
        </w:tc>
        <w:tc>
          <w:tcPr>
            <w:tcW w:w="3420" w:type="dxa"/>
            <w:tcBorders/>
          </w:tcPr>
          <w:p>
            <w:pPr>
              <w:pStyle w:val="Normal"/>
              <w:suppressAutoHyphens w:val="true"/>
              <w:jc w:val="both"/>
              <w:rPr>
                <w:spacing w:val="-3"/>
                <w:sz w:val="24"/>
              </w:rPr>
            </w:pPr>
            <w:r>
              <w:rPr>
                <w:color w:val="000000"/>
                <w:sz w:val="24"/>
                <w:lang w:eastAsia="en-US"/>
              </w:rPr>
              <w:t>Robert Mark</w:t>
            </w:r>
          </w:p>
        </w:tc>
      </w:tr>
      <w:tr>
        <w:trPr/>
        <w:tc>
          <w:tcPr>
            <w:tcW w:w="3510" w:type="dxa"/>
            <w:tcBorders/>
          </w:tcPr>
          <w:p>
            <w:pPr>
              <w:pStyle w:val="Normal"/>
              <w:suppressAutoHyphens w:val="true"/>
              <w:jc w:val="both"/>
              <w:rPr>
                <w:spacing w:val="-3"/>
                <w:sz w:val="24"/>
              </w:rPr>
            </w:pPr>
            <w:r>
              <w:rPr>
                <w:color w:val="000000"/>
                <w:sz w:val="24"/>
                <w:lang w:eastAsia="en-US"/>
              </w:rPr>
              <w:t>Henning Bruttel</w:t>
            </w:r>
          </w:p>
        </w:tc>
        <w:tc>
          <w:tcPr>
            <w:tcW w:w="3420" w:type="dxa"/>
            <w:tcBorders/>
          </w:tcPr>
          <w:p>
            <w:pPr>
              <w:pStyle w:val="Normal"/>
              <w:suppressAutoHyphens w:val="true"/>
              <w:jc w:val="both"/>
              <w:rPr>
                <w:spacing w:val="-3"/>
                <w:sz w:val="24"/>
              </w:rPr>
            </w:pPr>
            <w:r>
              <w:rPr>
                <w:color w:val="000000"/>
                <w:sz w:val="24"/>
                <w:lang w:eastAsia="en-US"/>
              </w:rPr>
              <w:t>Tom Montag</w:t>
            </w:r>
          </w:p>
        </w:tc>
      </w:tr>
      <w:tr>
        <w:trPr/>
        <w:tc>
          <w:tcPr>
            <w:tcW w:w="3510" w:type="dxa"/>
            <w:tcBorders/>
          </w:tcPr>
          <w:p>
            <w:pPr>
              <w:pStyle w:val="Normal"/>
              <w:suppressAutoHyphens w:val="true"/>
              <w:jc w:val="both"/>
              <w:rPr>
                <w:spacing w:val="-3"/>
                <w:sz w:val="24"/>
              </w:rPr>
            </w:pPr>
            <w:r>
              <w:rPr>
                <w:color w:val="000000"/>
                <w:sz w:val="24"/>
                <w:lang w:eastAsia="en-US"/>
              </w:rPr>
              <w:t>Sebastien Cahen</w:t>
            </w:r>
          </w:p>
        </w:tc>
        <w:tc>
          <w:tcPr>
            <w:tcW w:w="3420" w:type="dxa"/>
            <w:tcBorders/>
          </w:tcPr>
          <w:p>
            <w:pPr>
              <w:pStyle w:val="Normal"/>
              <w:suppressAutoHyphens w:val="true"/>
              <w:jc w:val="both"/>
              <w:rPr>
                <w:spacing w:val="-3"/>
                <w:sz w:val="24"/>
              </w:rPr>
            </w:pPr>
            <w:r>
              <w:rPr>
                <w:color w:val="000000"/>
                <w:sz w:val="24"/>
                <w:lang w:eastAsia="en-US"/>
              </w:rPr>
              <w:t>Jonathan Moulds</w:t>
            </w:r>
          </w:p>
        </w:tc>
      </w:tr>
      <w:tr>
        <w:trPr/>
        <w:tc>
          <w:tcPr>
            <w:tcW w:w="3510" w:type="dxa"/>
            <w:tcBorders/>
          </w:tcPr>
          <w:p>
            <w:pPr>
              <w:pStyle w:val="Normal"/>
              <w:suppressAutoHyphens w:val="true"/>
              <w:jc w:val="both"/>
              <w:rPr>
                <w:spacing w:val="-3"/>
                <w:sz w:val="24"/>
              </w:rPr>
            </w:pPr>
            <w:r>
              <w:rPr>
                <w:color w:val="000000"/>
                <w:sz w:val="24"/>
                <w:lang w:eastAsia="en-US"/>
              </w:rPr>
              <w:t>Tim Fredrickson</w:t>
            </w:r>
          </w:p>
        </w:tc>
        <w:tc>
          <w:tcPr>
            <w:tcW w:w="3420" w:type="dxa"/>
            <w:tcBorders/>
          </w:tcPr>
          <w:p>
            <w:pPr>
              <w:pStyle w:val="Normal"/>
              <w:suppressAutoHyphens w:val="true"/>
              <w:jc w:val="both"/>
              <w:rPr>
                <w:spacing w:val="-3"/>
                <w:sz w:val="24"/>
              </w:rPr>
            </w:pPr>
            <w:r>
              <w:rPr>
                <w:color w:val="000000"/>
                <w:sz w:val="24"/>
                <w:lang w:eastAsia="en-US"/>
              </w:rPr>
              <w:t>Dennis Oakley</w:t>
            </w:r>
          </w:p>
        </w:tc>
      </w:tr>
      <w:tr>
        <w:trPr/>
        <w:tc>
          <w:tcPr>
            <w:tcW w:w="3510" w:type="dxa"/>
            <w:tcBorders/>
          </w:tcPr>
          <w:p>
            <w:pPr>
              <w:pStyle w:val="Heading2"/>
              <w:ind w:hanging="0" w:start="0"/>
              <w:rPr>
                <w:spacing w:val="-3"/>
              </w:rPr>
            </w:pPr>
            <w:r>
              <w:rPr/>
              <w:t>Richard Grove</w:t>
            </w:r>
          </w:p>
        </w:tc>
        <w:tc>
          <w:tcPr>
            <w:tcW w:w="3420" w:type="dxa"/>
            <w:tcBorders/>
          </w:tcPr>
          <w:p>
            <w:pPr>
              <w:pStyle w:val="Normal"/>
              <w:suppressAutoHyphens w:val="true"/>
              <w:jc w:val="both"/>
              <w:rPr>
                <w:spacing w:val="-3"/>
                <w:sz w:val="24"/>
              </w:rPr>
            </w:pPr>
            <w:r>
              <w:rPr>
                <w:color w:val="000000"/>
                <w:sz w:val="24"/>
                <w:lang w:eastAsia="en-US"/>
              </w:rPr>
              <w:t>Luciano Steve</w:t>
            </w:r>
          </w:p>
        </w:tc>
      </w:tr>
      <w:tr>
        <w:trPr/>
        <w:tc>
          <w:tcPr>
            <w:tcW w:w="3510" w:type="dxa"/>
            <w:tcBorders/>
          </w:tcPr>
          <w:p>
            <w:pPr>
              <w:pStyle w:val="Normal"/>
              <w:suppressAutoHyphens w:val="true"/>
              <w:jc w:val="both"/>
              <w:rPr>
                <w:spacing w:val="-3"/>
                <w:sz w:val="24"/>
              </w:rPr>
            </w:pPr>
            <w:r>
              <w:rPr>
                <w:color w:val="000000"/>
                <w:sz w:val="24"/>
                <w:lang w:eastAsia="en-US"/>
              </w:rPr>
              <w:t>Mark Haedicke</w:t>
            </w:r>
          </w:p>
        </w:tc>
        <w:tc>
          <w:tcPr>
            <w:tcW w:w="3420" w:type="dxa"/>
            <w:tcBorders/>
          </w:tcPr>
          <w:p>
            <w:pPr>
              <w:pStyle w:val="Normal"/>
              <w:suppressAutoHyphens w:val="true"/>
              <w:jc w:val="both"/>
              <w:rPr>
                <w:spacing w:val="-3"/>
                <w:sz w:val="24"/>
              </w:rPr>
            </w:pPr>
            <w:r>
              <w:rPr>
                <w:color w:val="000000"/>
                <w:sz w:val="24"/>
                <w:lang w:eastAsia="en-US"/>
              </w:rPr>
              <w:t>Teruo Tanaka</w:t>
            </w:r>
          </w:p>
        </w:tc>
      </w:tr>
      <w:tr>
        <w:trPr/>
        <w:tc>
          <w:tcPr>
            <w:tcW w:w="3510" w:type="dxa"/>
            <w:tcBorders/>
          </w:tcPr>
          <w:p>
            <w:pPr>
              <w:pStyle w:val="Normal"/>
              <w:suppressAutoHyphens w:val="true"/>
              <w:jc w:val="both"/>
              <w:rPr>
                <w:color w:val="000000"/>
                <w:sz w:val="24"/>
                <w:lang w:eastAsia="en-US"/>
              </w:rPr>
            </w:pPr>
            <w:r>
              <w:rPr>
                <w:color w:val="000000"/>
                <w:sz w:val="24"/>
                <w:lang w:eastAsia="en-US"/>
              </w:rPr>
              <w:t>George James</w:t>
            </w:r>
          </w:p>
        </w:tc>
        <w:tc>
          <w:tcPr>
            <w:tcW w:w="3420" w:type="dxa"/>
            <w:tcBorders/>
          </w:tcPr>
          <w:p>
            <w:pPr>
              <w:pStyle w:val="Normal"/>
              <w:suppressAutoHyphens w:val="true"/>
              <w:jc w:val="both"/>
              <w:rPr>
                <w:spacing w:val="-3"/>
                <w:sz w:val="24"/>
              </w:rPr>
            </w:pPr>
            <w:r>
              <w:rPr>
                <w:color w:val="000000"/>
                <w:sz w:val="24"/>
                <w:lang w:eastAsia="en-US"/>
              </w:rPr>
              <w:t>Stephen Targett</w:t>
            </w:r>
          </w:p>
        </w:tc>
      </w:tr>
      <w:tr>
        <w:trPr/>
        <w:tc>
          <w:tcPr>
            <w:tcW w:w="3510" w:type="dxa"/>
            <w:tcBorders/>
          </w:tcPr>
          <w:p>
            <w:pPr>
              <w:pStyle w:val="Normal"/>
              <w:suppressAutoHyphens w:val="true"/>
              <w:jc w:val="both"/>
              <w:rPr>
                <w:color w:val="000000"/>
                <w:sz w:val="24"/>
                <w:lang w:eastAsia="en-US"/>
              </w:rPr>
            </w:pPr>
            <w:r>
              <w:rPr>
                <w:color w:val="000000"/>
                <w:sz w:val="24"/>
                <w:lang w:eastAsia="en-US"/>
              </w:rPr>
              <w:t>Damian Kissane</w:t>
            </w:r>
          </w:p>
        </w:tc>
        <w:tc>
          <w:tcPr>
            <w:tcW w:w="3420" w:type="dxa"/>
            <w:tcBorders/>
          </w:tcPr>
          <w:p>
            <w:pPr>
              <w:pStyle w:val="Normal"/>
              <w:suppressAutoHyphens w:val="true"/>
              <w:snapToGrid w:val="false"/>
              <w:jc w:val="both"/>
              <w:rPr>
                <w:color w:val="000000"/>
                <w:spacing w:val="-3"/>
                <w:sz w:val="24"/>
                <w:lang w:eastAsia="en-US"/>
              </w:rPr>
            </w:pPr>
            <w:r>
              <w:rPr>
                <w:color w:val="000000"/>
                <w:spacing w:val="-3"/>
                <w:sz w:val="24"/>
                <w:lang w:eastAsia="en-US"/>
              </w:rPr>
            </w:r>
          </w:p>
        </w:tc>
      </w:tr>
    </w:tbl>
    <w:p>
      <w:pPr>
        <w:pStyle w:val="Normal"/>
        <w:tabs>
          <w:tab w:val="clear" w:pos="720"/>
          <w:tab w:val="left" w:pos="0" w:leader="none"/>
        </w:tabs>
        <w:suppressAutoHyphens w:val="true"/>
        <w:jc w:val="both"/>
        <w:rPr>
          <w:spacing w:val="-3"/>
          <w:sz w:val="24"/>
        </w:rPr>
      </w:pPr>
      <w:r>
        <w:rPr>
          <w:spacing w:val="-3"/>
          <w:sz w:val="24"/>
        </w:rPr>
      </w:r>
    </w:p>
    <w:p>
      <w:pPr>
        <w:pStyle w:val="Normal"/>
        <w:tabs>
          <w:tab w:val="clear" w:pos="720"/>
          <w:tab w:val="left" w:pos="0" w:leader="none"/>
        </w:tabs>
        <w:suppressAutoHyphens w:val="true"/>
        <w:jc w:val="both"/>
        <w:rPr>
          <w:spacing w:val="-3"/>
          <w:sz w:val="24"/>
        </w:rPr>
      </w:pPr>
      <w:r>
        <w:rPr>
          <w:spacing w:val="-3"/>
          <w:sz w:val="24"/>
        </w:rPr>
        <w:t>Ernest Patrikis participated by telephone.</w:t>
      </w:r>
    </w:p>
    <w:p>
      <w:pPr>
        <w:pStyle w:val="Normal"/>
        <w:tabs>
          <w:tab w:val="clear" w:pos="720"/>
          <w:tab w:val="left" w:pos="0" w:leader="none"/>
        </w:tabs>
        <w:suppressAutoHyphens w:val="true"/>
        <w:jc w:val="both"/>
        <w:rPr>
          <w:spacing w:val="-3"/>
          <w:sz w:val="24"/>
        </w:rPr>
      </w:pPr>
      <w:r>
        <w:rPr>
          <w:spacing w:val="-3"/>
          <w:sz w:val="24"/>
        </w:rPr>
      </w:r>
    </w:p>
    <w:p>
      <w:pPr>
        <w:pStyle w:val="Normal"/>
        <w:tabs>
          <w:tab w:val="clear" w:pos="720"/>
          <w:tab w:val="left" w:pos="0" w:leader="none"/>
        </w:tabs>
        <w:suppressAutoHyphens w:val="true"/>
        <w:jc w:val="both"/>
        <w:rPr>
          <w:spacing w:val="-3"/>
          <w:sz w:val="24"/>
        </w:rPr>
      </w:pPr>
      <w:r>
        <w:rPr>
          <w:spacing w:val="-3"/>
          <w:sz w:val="24"/>
        </w:rPr>
        <w:t xml:space="preserve">Also present were Ruth Ainslie, Senior Director of the Policy for the Americas and Media Relations; Nick Collier, Director of European Policy; Mary Cunningham, Director of Membership and Conferences; Shigeki Kawano, Director of Japanese Policy; Richard Metcalfe, Assistant Director of European Policy; Angela Papesch, Assistant Director of European Policy; Robert Pickel, General Counsel; and Emmanuelle Sebton, Head of Risk Management. </w:t>
      </w:r>
    </w:p>
    <w:p>
      <w:pPr>
        <w:pStyle w:val="Normal"/>
        <w:tabs>
          <w:tab w:val="clear" w:pos="720"/>
          <w:tab w:val="left" w:pos="0" w:leader="none"/>
        </w:tabs>
        <w:suppressAutoHyphens w:val="true"/>
        <w:jc w:val="both"/>
        <w:rPr>
          <w:spacing w:val="-3"/>
          <w:sz w:val="24"/>
        </w:rPr>
      </w:pPr>
      <w:r>
        <w:rPr>
          <w:spacing w:val="-3"/>
          <w:sz w:val="24"/>
        </w:rPr>
      </w:r>
    </w:p>
    <w:p>
      <w:pPr>
        <w:pStyle w:val="Normal"/>
        <w:tabs>
          <w:tab w:val="clear" w:pos="720"/>
          <w:tab w:val="left" w:pos="0" w:leader="none"/>
        </w:tabs>
        <w:suppressAutoHyphens w:val="true"/>
        <w:jc w:val="both"/>
        <w:rPr/>
      </w:pPr>
      <w:r>
        <w:rPr>
          <w:color w:val="000000"/>
          <w:sz w:val="24"/>
          <w:lang w:eastAsia="en-US"/>
        </w:rPr>
        <w:t>Jerry del Missier, Diane Genova, Jose Manuel Hernandez-Beneyto, Ravit Mandell and Maurits Schouten</w:t>
      </w:r>
      <w:r>
        <w:rPr>
          <w:spacing w:val="-3"/>
          <w:sz w:val="24"/>
        </w:rPr>
        <w:t xml:space="preserve"> did not attend the meeting.    </w:t>
      </w:r>
    </w:p>
    <w:p>
      <w:pPr>
        <w:pStyle w:val="Normal"/>
        <w:tabs>
          <w:tab w:val="clear" w:pos="720"/>
          <w:tab w:val="left" w:pos="0" w:leader="none"/>
        </w:tabs>
        <w:suppressAutoHyphens w:val="true"/>
        <w:jc w:val="both"/>
        <w:rPr>
          <w:spacing w:val="-3"/>
          <w:sz w:val="24"/>
        </w:rPr>
      </w:pPr>
      <w:r>
        <w:rPr>
          <w:spacing w:val="-3"/>
          <w:sz w:val="24"/>
        </w:rPr>
      </w:r>
    </w:p>
    <w:p>
      <w:pPr>
        <w:pStyle w:val="Normal"/>
        <w:tabs>
          <w:tab w:val="clear" w:pos="720"/>
          <w:tab w:val="left" w:pos="0" w:leader="none"/>
        </w:tabs>
        <w:suppressAutoHyphens w:val="true"/>
        <w:jc w:val="both"/>
        <w:rPr>
          <w:spacing w:val="-3"/>
          <w:sz w:val="24"/>
        </w:rPr>
      </w:pPr>
      <w:r>
        <w:rPr>
          <w:spacing w:val="-3"/>
          <w:sz w:val="24"/>
        </w:rPr>
        <w:t>Mr. Bailey called the meeting to order.</w:t>
      </w:r>
    </w:p>
    <w:p>
      <w:pPr>
        <w:pStyle w:val="Normal"/>
        <w:tabs>
          <w:tab w:val="clear" w:pos="720"/>
          <w:tab w:val="left" w:pos="0" w:leader="none"/>
        </w:tabs>
        <w:suppressAutoHyphens w:val="true"/>
        <w:jc w:val="both"/>
        <w:rPr>
          <w:spacing w:val="-3"/>
          <w:sz w:val="24"/>
        </w:rPr>
      </w:pPr>
      <w:r>
        <w:rPr>
          <w:spacing w:val="-3"/>
          <w:sz w:val="24"/>
        </w:rPr>
      </w:r>
    </w:p>
    <w:p>
      <w:pPr>
        <w:pStyle w:val="Normal"/>
        <w:tabs>
          <w:tab w:val="clear" w:pos="720"/>
          <w:tab w:val="left" w:pos="0" w:leader="none"/>
        </w:tabs>
        <w:suppressAutoHyphens w:val="true"/>
        <w:jc w:val="both"/>
        <w:rPr>
          <w:spacing w:val="-3"/>
          <w:sz w:val="24"/>
        </w:rPr>
      </w:pPr>
      <w:r>
        <w:rPr>
          <w:spacing w:val="-3"/>
          <w:sz w:val="24"/>
        </w:rPr>
        <w:t>Mr. Bailey introduced and welcomed to the Board Tim Fredrickson of UBS Warburg, who had joined the Board following the resignation of Mark Harding.</w:t>
      </w:r>
    </w:p>
    <w:p>
      <w:pPr>
        <w:pStyle w:val="Normal"/>
        <w:tabs>
          <w:tab w:val="clear" w:pos="720"/>
          <w:tab w:val="left" w:pos="0" w:leader="none"/>
        </w:tabs>
        <w:suppressAutoHyphens w:val="true"/>
        <w:jc w:val="both"/>
        <w:rPr>
          <w:b/>
          <w:spacing w:val="-3"/>
          <w:sz w:val="24"/>
          <w:u w:val="single"/>
        </w:rPr>
      </w:pPr>
      <w:r>
        <w:rPr>
          <w:b/>
          <w:spacing w:val="-3"/>
          <w:sz w:val="24"/>
          <w:u w:val="single"/>
        </w:rPr>
      </w:r>
    </w:p>
    <w:p>
      <w:pPr>
        <w:pStyle w:val="Heading1"/>
        <w:ind w:hanging="0" w:start="0"/>
        <w:jc w:val="both"/>
        <w:rPr/>
      </w:pPr>
      <w:r>
        <w:rPr/>
        <w:t>Approval of Board Meeting Minutes</w:t>
      </w:r>
    </w:p>
    <w:p>
      <w:pPr>
        <w:pStyle w:val="Normal"/>
        <w:jc w:val="both"/>
        <w:rPr>
          <w:sz w:val="24"/>
        </w:rPr>
      </w:pPr>
      <w:r>
        <w:rPr>
          <w:sz w:val="24"/>
        </w:rPr>
      </w:r>
    </w:p>
    <w:p>
      <w:pPr>
        <w:pStyle w:val="BodyText"/>
        <w:jc w:val="both"/>
        <w:rPr/>
      </w:pPr>
      <w:r>
        <w:rPr/>
        <w:t>The Board considered the approval of the draft minutes of the June 8-9, 2000 Board Meeting.  After a discussion, upon motion duly made, the following resolution was unanimously adopted:</w:t>
      </w:r>
    </w:p>
    <w:p>
      <w:pPr>
        <w:pStyle w:val="Normal"/>
        <w:tabs>
          <w:tab w:val="clear" w:pos="720"/>
          <w:tab w:val="left" w:pos="0" w:leader="none"/>
        </w:tabs>
        <w:suppressAutoHyphens w:val="true"/>
        <w:jc w:val="both"/>
        <w:rPr>
          <w:spacing w:val="-3"/>
          <w:sz w:val="24"/>
        </w:rPr>
      </w:pPr>
      <w:r>
        <w:rPr>
          <w:spacing w:val="-3"/>
          <w:sz w:val="24"/>
        </w:rPr>
      </w:r>
    </w:p>
    <w:p>
      <w:pPr>
        <w:pStyle w:val="BodyTextIndent2"/>
        <w:rPr>
          <w:spacing w:val="-3"/>
        </w:rPr>
      </w:pPr>
      <w:r>
        <w:rPr/>
        <w:t>RESOLVED, that the minutes of the meetings of the Board of Directors of the Association held on June 8-9, 2000, in the form presented to the Board, be, and the same hereby are, approved and adopted.</w:t>
      </w:r>
    </w:p>
    <w:p>
      <w:pPr>
        <w:pStyle w:val="Normal"/>
        <w:tabs>
          <w:tab w:val="clear" w:pos="720"/>
          <w:tab w:val="left" w:pos="0" w:leader="none"/>
        </w:tabs>
        <w:suppressAutoHyphens w:val="true"/>
        <w:jc w:val="both"/>
        <w:rPr>
          <w:b/>
          <w:spacing w:val="-3"/>
          <w:sz w:val="24"/>
          <w:u w:val="single"/>
        </w:rPr>
      </w:pPr>
      <w:r>
        <w:rPr>
          <w:b/>
          <w:spacing w:val="-3"/>
          <w:sz w:val="24"/>
          <w:u w:val="single"/>
        </w:rPr>
      </w:r>
    </w:p>
    <w:p>
      <w:pPr>
        <w:pStyle w:val="Normal"/>
        <w:tabs>
          <w:tab w:val="clear" w:pos="720"/>
          <w:tab w:val="left" w:pos="0" w:leader="none"/>
        </w:tabs>
        <w:suppressAutoHyphens w:val="true"/>
        <w:jc w:val="both"/>
        <w:rPr>
          <w:b/>
          <w:spacing w:val="-3"/>
          <w:sz w:val="24"/>
          <w:u w:val="single"/>
        </w:rPr>
      </w:pPr>
      <w:r>
        <w:rPr>
          <w:b/>
          <w:spacing w:val="-3"/>
          <w:sz w:val="24"/>
          <w:u w:val="single"/>
        </w:rPr>
      </w:r>
    </w:p>
    <w:p>
      <w:pPr>
        <w:pStyle w:val="Normal"/>
        <w:tabs>
          <w:tab w:val="clear" w:pos="720"/>
          <w:tab w:val="left" w:pos="0" w:leader="none"/>
        </w:tabs>
        <w:suppressAutoHyphens w:val="true"/>
        <w:jc w:val="both"/>
        <w:rPr>
          <w:spacing w:val="-3"/>
          <w:sz w:val="24"/>
        </w:rPr>
      </w:pPr>
      <w:r>
        <w:rPr>
          <w:b/>
          <w:spacing w:val="-3"/>
          <w:sz w:val="24"/>
          <w:u w:val="single"/>
        </w:rPr>
        <w:t>Membership</w:t>
      </w:r>
    </w:p>
    <w:p>
      <w:pPr>
        <w:pStyle w:val="Normal"/>
        <w:tabs>
          <w:tab w:val="clear" w:pos="720"/>
          <w:tab w:val="left" w:pos="0" w:leader="none"/>
        </w:tabs>
        <w:suppressAutoHyphens w:val="true"/>
        <w:jc w:val="both"/>
        <w:rPr>
          <w:spacing w:val="-3"/>
          <w:sz w:val="24"/>
        </w:rPr>
      </w:pPr>
      <w:r>
        <w:rPr>
          <w:spacing w:val="-3"/>
          <w:sz w:val="24"/>
        </w:rPr>
      </w:r>
    </w:p>
    <w:p>
      <w:pPr>
        <w:pStyle w:val="Normal"/>
        <w:tabs>
          <w:tab w:val="clear" w:pos="720"/>
          <w:tab w:val="left" w:pos="0" w:leader="none"/>
        </w:tabs>
        <w:suppressAutoHyphens w:val="true"/>
        <w:jc w:val="both"/>
        <w:rPr>
          <w:spacing w:val="-3"/>
          <w:sz w:val="24"/>
        </w:rPr>
      </w:pPr>
      <w:r>
        <w:rPr>
          <w:spacing w:val="-3"/>
          <w:sz w:val="24"/>
        </w:rPr>
        <w:t xml:space="preserve">The Board reviewed the actions of the Executive Committee relating to the approval of new members. </w:t>
      </w:r>
    </w:p>
    <w:p>
      <w:pPr>
        <w:pStyle w:val="Normal"/>
        <w:tabs>
          <w:tab w:val="clear" w:pos="720"/>
          <w:tab w:val="left" w:pos="0" w:leader="none"/>
        </w:tabs>
        <w:suppressAutoHyphens w:val="true"/>
        <w:jc w:val="both"/>
        <w:rPr>
          <w:spacing w:val="-3"/>
          <w:sz w:val="24"/>
        </w:rPr>
      </w:pPr>
      <w:r>
        <w:rPr>
          <w:spacing w:val="-3"/>
          <w:sz w:val="24"/>
        </w:rPr>
      </w:r>
    </w:p>
    <w:p>
      <w:pPr>
        <w:pStyle w:val="Normal"/>
        <w:tabs>
          <w:tab w:val="clear" w:pos="720"/>
          <w:tab w:val="left" w:pos="0" w:leader="none"/>
        </w:tabs>
        <w:suppressAutoHyphens w:val="true"/>
        <w:jc w:val="both"/>
        <w:rPr>
          <w:spacing w:val="-3"/>
          <w:sz w:val="24"/>
        </w:rPr>
      </w:pPr>
      <w:r>
        <w:rPr>
          <w:spacing w:val="-3"/>
          <w:sz w:val="24"/>
        </w:rPr>
        <w:t xml:space="preserve">The Board considered the following membership application: </w:t>
      </w:r>
    </w:p>
    <w:p>
      <w:pPr>
        <w:pStyle w:val="Normal"/>
        <w:tabs>
          <w:tab w:val="clear" w:pos="720"/>
          <w:tab w:val="left" w:pos="0" w:leader="none"/>
        </w:tabs>
        <w:suppressAutoHyphens w:val="true"/>
        <w:jc w:val="both"/>
        <w:rPr>
          <w:spacing w:val="-3"/>
          <w:sz w:val="24"/>
        </w:rPr>
      </w:pPr>
      <w:r>
        <w:rPr>
          <w:spacing w:val="-3"/>
          <w:sz w:val="24"/>
        </w:rPr>
      </w:r>
    </w:p>
    <w:tbl>
      <w:tblPr>
        <w:tblW w:w="8370" w:type="dxa"/>
        <w:jc w:val="start"/>
        <w:tblInd w:w="558" w:type="dxa"/>
        <w:tblLayout w:type="fixed"/>
        <w:tblCellMar>
          <w:top w:w="0" w:type="dxa"/>
          <w:start w:w="108" w:type="dxa"/>
          <w:bottom w:w="0" w:type="dxa"/>
          <w:end w:w="108" w:type="dxa"/>
        </w:tblCellMar>
      </w:tblPr>
      <w:tblGrid>
        <w:gridCol w:w="5220"/>
        <w:gridCol w:w="3150"/>
      </w:tblGrid>
      <w:tr>
        <w:trPr/>
        <w:tc>
          <w:tcPr>
            <w:tcW w:w="5220" w:type="dxa"/>
            <w:tcBorders/>
          </w:tcPr>
          <w:p>
            <w:pPr>
              <w:pStyle w:val="Normal"/>
              <w:suppressAutoHyphens w:val="true"/>
              <w:jc w:val="both"/>
              <w:rPr>
                <w:spacing w:val="-3"/>
                <w:sz w:val="24"/>
              </w:rPr>
            </w:pPr>
            <w:r>
              <w:rPr>
                <w:spacing w:val="-3"/>
                <w:sz w:val="24"/>
              </w:rPr>
              <w:t>Accord Energy Limited</w:t>
            </w:r>
          </w:p>
        </w:tc>
        <w:tc>
          <w:tcPr>
            <w:tcW w:w="3150" w:type="dxa"/>
            <w:tcBorders/>
          </w:tcPr>
          <w:p>
            <w:pPr>
              <w:pStyle w:val="Normal"/>
              <w:suppressAutoHyphens w:val="true"/>
              <w:jc w:val="both"/>
              <w:rPr>
                <w:spacing w:val="-3"/>
                <w:sz w:val="24"/>
              </w:rPr>
            </w:pPr>
            <w:r>
              <w:rPr>
                <w:spacing w:val="-3"/>
                <w:sz w:val="24"/>
              </w:rPr>
              <w:t>Primary Membership</w:t>
            </w:r>
          </w:p>
        </w:tc>
      </w:tr>
      <w:tr>
        <w:trPr/>
        <w:tc>
          <w:tcPr>
            <w:tcW w:w="5220" w:type="dxa"/>
            <w:tcBorders/>
          </w:tcPr>
          <w:p>
            <w:pPr>
              <w:pStyle w:val="Normal"/>
              <w:suppressAutoHyphens w:val="true"/>
              <w:jc w:val="both"/>
              <w:rPr>
                <w:spacing w:val="-3"/>
                <w:sz w:val="24"/>
              </w:rPr>
            </w:pPr>
            <w:r>
              <w:rPr>
                <w:spacing w:val="-3"/>
                <w:sz w:val="24"/>
              </w:rPr>
              <w:t>PNC Bank, NA</w:t>
            </w:r>
          </w:p>
        </w:tc>
        <w:tc>
          <w:tcPr>
            <w:tcW w:w="3150" w:type="dxa"/>
            <w:tcBorders/>
          </w:tcPr>
          <w:p>
            <w:pPr>
              <w:pStyle w:val="Normal"/>
              <w:suppressAutoHyphens w:val="true"/>
              <w:jc w:val="both"/>
              <w:rPr>
                <w:spacing w:val="-3"/>
                <w:sz w:val="24"/>
              </w:rPr>
            </w:pPr>
            <w:r>
              <w:rPr>
                <w:spacing w:val="-3"/>
                <w:sz w:val="24"/>
              </w:rPr>
              <w:t>Primary Membership</w:t>
            </w:r>
          </w:p>
        </w:tc>
      </w:tr>
      <w:tr>
        <w:trPr/>
        <w:tc>
          <w:tcPr>
            <w:tcW w:w="5220" w:type="dxa"/>
            <w:tcBorders/>
          </w:tcPr>
          <w:p>
            <w:pPr>
              <w:pStyle w:val="Normal"/>
              <w:suppressAutoHyphens w:val="true"/>
              <w:jc w:val="both"/>
              <w:rPr>
                <w:spacing w:val="-3"/>
                <w:sz w:val="24"/>
              </w:rPr>
            </w:pPr>
            <w:r>
              <w:rPr>
                <w:spacing w:val="-3"/>
                <w:sz w:val="24"/>
              </w:rPr>
              <w:t>Allen &amp; Gledhill</w:t>
            </w:r>
          </w:p>
        </w:tc>
        <w:tc>
          <w:tcPr>
            <w:tcW w:w="3150" w:type="dxa"/>
            <w:tcBorders/>
          </w:tcPr>
          <w:p>
            <w:pPr>
              <w:pStyle w:val="Normal"/>
              <w:suppressAutoHyphens w:val="true"/>
              <w:jc w:val="both"/>
              <w:rPr>
                <w:spacing w:val="-3"/>
                <w:sz w:val="24"/>
              </w:rPr>
            </w:pPr>
            <w:r>
              <w:rPr>
                <w:spacing w:val="-3"/>
                <w:sz w:val="24"/>
              </w:rPr>
              <w:t>Associate Membership</w:t>
            </w:r>
          </w:p>
        </w:tc>
      </w:tr>
      <w:tr>
        <w:trPr/>
        <w:tc>
          <w:tcPr>
            <w:tcW w:w="5220" w:type="dxa"/>
            <w:tcBorders/>
          </w:tcPr>
          <w:p>
            <w:pPr>
              <w:pStyle w:val="Normal"/>
              <w:suppressAutoHyphens w:val="true"/>
              <w:jc w:val="both"/>
              <w:rPr>
                <w:spacing w:val="-3"/>
                <w:sz w:val="24"/>
              </w:rPr>
            </w:pPr>
            <w:r>
              <w:rPr>
                <w:spacing w:val="-3"/>
                <w:sz w:val="24"/>
              </w:rPr>
              <w:t>Mori Sogo Law Offices</w:t>
            </w:r>
          </w:p>
        </w:tc>
        <w:tc>
          <w:tcPr>
            <w:tcW w:w="3150" w:type="dxa"/>
            <w:tcBorders/>
          </w:tcPr>
          <w:p>
            <w:pPr>
              <w:pStyle w:val="Normal"/>
              <w:suppressAutoHyphens w:val="true"/>
              <w:jc w:val="both"/>
              <w:rPr>
                <w:spacing w:val="-3"/>
                <w:sz w:val="24"/>
              </w:rPr>
            </w:pPr>
            <w:r>
              <w:rPr>
                <w:spacing w:val="-3"/>
                <w:sz w:val="24"/>
              </w:rPr>
              <w:t>Associate Membership</w:t>
            </w:r>
          </w:p>
        </w:tc>
      </w:tr>
      <w:tr>
        <w:trPr/>
        <w:tc>
          <w:tcPr>
            <w:tcW w:w="5220" w:type="dxa"/>
            <w:tcBorders/>
          </w:tcPr>
          <w:p>
            <w:pPr>
              <w:pStyle w:val="Normal"/>
              <w:suppressAutoHyphens w:val="true"/>
              <w:jc w:val="both"/>
              <w:rPr>
                <w:spacing w:val="-3"/>
                <w:sz w:val="24"/>
              </w:rPr>
            </w:pPr>
            <w:r>
              <w:rPr>
                <w:spacing w:val="-3"/>
                <w:sz w:val="24"/>
              </w:rPr>
              <w:t>O’Melveny &amp; Meyers LLP</w:t>
            </w:r>
          </w:p>
        </w:tc>
        <w:tc>
          <w:tcPr>
            <w:tcW w:w="3150" w:type="dxa"/>
            <w:tcBorders/>
          </w:tcPr>
          <w:p>
            <w:pPr>
              <w:pStyle w:val="Normal"/>
              <w:suppressAutoHyphens w:val="true"/>
              <w:jc w:val="both"/>
              <w:rPr>
                <w:spacing w:val="-3"/>
                <w:sz w:val="24"/>
              </w:rPr>
            </w:pPr>
            <w:r>
              <w:rPr>
                <w:spacing w:val="-3"/>
                <w:sz w:val="24"/>
              </w:rPr>
              <w:t>Associate Membership</w:t>
            </w:r>
          </w:p>
        </w:tc>
      </w:tr>
      <w:tr>
        <w:trPr/>
        <w:tc>
          <w:tcPr>
            <w:tcW w:w="5220" w:type="dxa"/>
            <w:tcBorders/>
          </w:tcPr>
          <w:p>
            <w:pPr>
              <w:pStyle w:val="Normal"/>
              <w:suppressAutoHyphens w:val="true"/>
              <w:jc w:val="both"/>
              <w:rPr>
                <w:spacing w:val="-3"/>
                <w:sz w:val="24"/>
              </w:rPr>
            </w:pPr>
            <w:r>
              <w:rPr>
                <w:spacing w:val="-3"/>
                <w:sz w:val="24"/>
              </w:rPr>
              <w:t>TriOptima</w:t>
            </w:r>
          </w:p>
        </w:tc>
        <w:tc>
          <w:tcPr>
            <w:tcW w:w="3150" w:type="dxa"/>
            <w:tcBorders/>
          </w:tcPr>
          <w:p>
            <w:pPr>
              <w:pStyle w:val="Normal"/>
              <w:suppressAutoHyphens w:val="true"/>
              <w:jc w:val="both"/>
              <w:rPr>
                <w:spacing w:val="-3"/>
                <w:sz w:val="24"/>
              </w:rPr>
            </w:pPr>
            <w:r>
              <w:rPr>
                <w:spacing w:val="-3"/>
                <w:sz w:val="24"/>
              </w:rPr>
              <w:t>Associate Membership</w:t>
            </w:r>
          </w:p>
        </w:tc>
      </w:tr>
      <w:tr>
        <w:trPr/>
        <w:tc>
          <w:tcPr>
            <w:tcW w:w="5220" w:type="dxa"/>
            <w:tcBorders/>
          </w:tcPr>
          <w:p>
            <w:pPr>
              <w:pStyle w:val="Normal"/>
              <w:suppressAutoHyphens w:val="true"/>
              <w:jc w:val="both"/>
              <w:rPr>
                <w:spacing w:val="-3"/>
                <w:sz w:val="24"/>
              </w:rPr>
            </w:pPr>
            <w:r>
              <w:rPr>
                <w:spacing w:val="-3"/>
                <w:sz w:val="24"/>
              </w:rPr>
              <w:t>Cantor Fitzgerald International</w:t>
            </w:r>
          </w:p>
        </w:tc>
        <w:tc>
          <w:tcPr>
            <w:tcW w:w="3150" w:type="dxa"/>
            <w:tcBorders/>
          </w:tcPr>
          <w:p>
            <w:pPr>
              <w:pStyle w:val="Normal"/>
              <w:suppressAutoHyphens w:val="true"/>
              <w:jc w:val="both"/>
              <w:rPr>
                <w:spacing w:val="-3"/>
                <w:sz w:val="24"/>
              </w:rPr>
            </w:pPr>
            <w:r>
              <w:rPr>
                <w:spacing w:val="-3"/>
                <w:sz w:val="24"/>
              </w:rPr>
              <w:t>Associate Broker Membership</w:t>
            </w:r>
          </w:p>
        </w:tc>
      </w:tr>
      <w:tr>
        <w:trPr/>
        <w:tc>
          <w:tcPr>
            <w:tcW w:w="5220" w:type="dxa"/>
            <w:tcBorders/>
          </w:tcPr>
          <w:p>
            <w:pPr>
              <w:pStyle w:val="Normal"/>
              <w:suppressAutoHyphens w:val="true"/>
              <w:jc w:val="both"/>
              <w:rPr>
                <w:spacing w:val="-3"/>
                <w:sz w:val="24"/>
              </w:rPr>
            </w:pPr>
            <w:r>
              <w:rPr>
                <w:spacing w:val="-3"/>
                <w:sz w:val="24"/>
              </w:rPr>
              <w:t>e-Mid S.p.A.</w:t>
            </w:r>
          </w:p>
        </w:tc>
        <w:tc>
          <w:tcPr>
            <w:tcW w:w="3150" w:type="dxa"/>
            <w:tcBorders/>
          </w:tcPr>
          <w:p>
            <w:pPr>
              <w:pStyle w:val="Normal"/>
              <w:suppressAutoHyphens w:val="true"/>
              <w:jc w:val="both"/>
              <w:rPr>
                <w:spacing w:val="-3"/>
                <w:sz w:val="24"/>
              </w:rPr>
            </w:pPr>
            <w:r>
              <w:rPr>
                <w:spacing w:val="-3"/>
                <w:sz w:val="24"/>
              </w:rPr>
              <w:t>Associate Broker Membership</w:t>
            </w:r>
          </w:p>
        </w:tc>
      </w:tr>
      <w:tr>
        <w:trPr/>
        <w:tc>
          <w:tcPr>
            <w:tcW w:w="5220" w:type="dxa"/>
            <w:tcBorders/>
          </w:tcPr>
          <w:p>
            <w:pPr>
              <w:pStyle w:val="Normal"/>
              <w:suppressAutoHyphens w:val="true"/>
              <w:jc w:val="both"/>
              <w:rPr>
                <w:spacing w:val="-3"/>
                <w:sz w:val="24"/>
              </w:rPr>
            </w:pPr>
            <w:r>
              <w:rPr>
                <w:spacing w:val="-3"/>
                <w:sz w:val="24"/>
              </w:rPr>
              <w:t>Treasury Connect</w:t>
            </w:r>
          </w:p>
        </w:tc>
        <w:tc>
          <w:tcPr>
            <w:tcW w:w="3150" w:type="dxa"/>
            <w:tcBorders/>
          </w:tcPr>
          <w:p>
            <w:pPr>
              <w:pStyle w:val="Normal"/>
              <w:suppressAutoHyphens w:val="true"/>
              <w:jc w:val="both"/>
              <w:rPr>
                <w:spacing w:val="-3"/>
                <w:sz w:val="24"/>
              </w:rPr>
            </w:pPr>
            <w:r>
              <w:rPr>
                <w:spacing w:val="-3"/>
                <w:sz w:val="24"/>
              </w:rPr>
              <w:t>Associate Broker Membership</w:t>
            </w:r>
          </w:p>
        </w:tc>
      </w:tr>
      <w:tr>
        <w:trPr/>
        <w:tc>
          <w:tcPr>
            <w:tcW w:w="5220" w:type="dxa"/>
            <w:tcBorders/>
          </w:tcPr>
          <w:p>
            <w:pPr>
              <w:pStyle w:val="Normal"/>
              <w:suppressAutoHyphens w:val="true"/>
              <w:jc w:val="both"/>
              <w:rPr>
                <w:spacing w:val="-3"/>
                <w:sz w:val="24"/>
              </w:rPr>
            </w:pPr>
            <w:r>
              <w:rPr>
                <w:spacing w:val="-3"/>
                <w:sz w:val="24"/>
              </w:rPr>
              <w:t>Bayview Financial Trading Group, L.P.</w:t>
            </w:r>
          </w:p>
        </w:tc>
        <w:tc>
          <w:tcPr>
            <w:tcW w:w="3150" w:type="dxa"/>
            <w:tcBorders/>
          </w:tcPr>
          <w:p>
            <w:pPr>
              <w:pStyle w:val="Normal"/>
              <w:suppressAutoHyphens w:val="true"/>
              <w:jc w:val="both"/>
              <w:rPr>
                <w:spacing w:val="-3"/>
                <w:sz w:val="24"/>
              </w:rPr>
            </w:pPr>
            <w:r>
              <w:rPr>
                <w:spacing w:val="-3"/>
                <w:sz w:val="24"/>
              </w:rPr>
              <w:t>Subscriber Membership</w:t>
            </w:r>
          </w:p>
        </w:tc>
      </w:tr>
      <w:tr>
        <w:trPr/>
        <w:tc>
          <w:tcPr>
            <w:tcW w:w="5220" w:type="dxa"/>
            <w:tcBorders/>
          </w:tcPr>
          <w:p>
            <w:pPr>
              <w:pStyle w:val="Normal"/>
              <w:suppressAutoHyphens w:val="true"/>
              <w:jc w:val="both"/>
              <w:rPr>
                <w:spacing w:val="-3"/>
                <w:sz w:val="24"/>
              </w:rPr>
            </w:pPr>
            <w:r>
              <w:rPr>
                <w:spacing w:val="-3"/>
                <w:sz w:val="24"/>
              </w:rPr>
              <w:t>Inter-American Development Bank</w:t>
            </w:r>
          </w:p>
        </w:tc>
        <w:tc>
          <w:tcPr>
            <w:tcW w:w="3150" w:type="dxa"/>
            <w:tcBorders/>
          </w:tcPr>
          <w:p>
            <w:pPr>
              <w:pStyle w:val="Normal"/>
              <w:suppressAutoHyphens w:val="true"/>
              <w:jc w:val="both"/>
              <w:rPr>
                <w:spacing w:val="-3"/>
                <w:sz w:val="24"/>
              </w:rPr>
            </w:pPr>
            <w:r>
              <w:rPr>
                <w:spacing w:val="-3"/>
                <w:sz w:val="24"/>
              </w:rPr>
              <w:t>Subscriber Membership</w:t>
            </w:r>
          </w:p>
        </w:tc>
      </w:tr>
      <w:tr>
        <w:trPr/>
        <w:tc>
          <w:tcPr>
            <w:tcW w:w="5220" w:type="dxa"/>
            <w:tcBorders/>
          </w:tcPr>
          <w:p>
            <w:pPr>
              <w:pStyle w:val="Normal"/>
              <w:suppressAutoHyphens w:val="true"/>
              <w:jc w:val="both"/>
              <w:rPr>
                <w:spacing w:val="-3"/>
                <w:sz w:val="24"/>
              </w:rPr>
            </w:pPr>
            <w:r>
              <w:rPr>
                <w:spacing w:val="-3"/>
                <w:sz w:val="24"/>
              </w:rPr>
              <w:t>Societe Nationale de Chemins de Fer Belges (SNCB)</w:t>
            </w:r>
          </w:p>
        </w:tc>
        <w:tc>
          <w:tcPr>
            <w:tcW w:w="3150" w:type="dxa"/>
            <w:tcBorders/>
          </w:tcPr>
          <w:p>
            <w:pPr>
              <w:pStyle w:val="Normal"/>
              <w:suppressAutoHyphens w:val="true"/>
              <w:jc w:val="both"/>
              <w:rPr>
                <w:spacing w:val="-3"/>
                <w:sz w:val="24"/>
              </w:rPr>
            </w:pPr>
            <w:r>
              <w:rPr>
                <w:spacing w:val="-3"/>
                <w:sz w:val="24"/>
              </w:rPr>
              <w:t>Subscriber Membership</w:t>
            </w:r>
          </w:p>
        </w:tc>
      </w:tr>
    </w:tbl>
    <w:p>
      <w:pPr>
        <w:pStyle w:val="Normal"/>
        <w:tabs>
          <w:tab w:val="clear" w:pos="720"/>
          <w:tab w:val="left" w:pos="0" w:leader="none"/>
        </w:tabs>
        <w:suppressAutoHyphens w:val="true"/>
        <w:jc w:val="both"/>
        <w:rPr>
          <w:spacing w:val="-3"/>
          <w:sz w:val="24"/>
        </w:rPr>
      </w:pPr>
      <w:r>
        <w:rPr>
          <w:spacing w:val="-3"/>
          <w:sz w:val="24"/>
        </w:rPr>
      </w:r>
    </w:p>
    <w:p>
      <w:pPr>
        <w:pStyle w:val="Normal"/>
        <w:tabs>
          <w:tab w:val="clear" w:pos="720"/>
          <w:tab w:val="left" w:pos="0" w:leader="none"/>
        </w:tabs>
        <w:suppressAutoHyphens w:val="true"/>
        <w:jc w:val="both"/>
        <w:rPr>
          <w:spacing w:val="-3"/>
          <w:sz w:val="24"/>
        </w:rPr>
      </w:pPr>
      <w:r>
        <w:rPr>
          <w:spacing w:val="-3"/>
          <w:sz w:val="24"/>
        </w:rPr>
        <w:t>After a brief discussion, upon motion duly made, the following resolution was unanimously adopted:</w:t>
      </w:r>
    </w:p>
    <w:p>
      <w:pPr>
        <w:pStyle w:val="Normal"/>
        <w:tabs>
          <w:tab w:val="clear" w:pos="720"/>
          <w:tab w:val="left" w:pos="0" w:leader="none"/>
        </w:tabs>
        <w:suppressAutoHyphens w:val="true"/>
        <w:jc w:val="both"/>
        <w:rPr>
          <w:spacing w:val="-3"/>
          <w:sz w:val="24"/>
        </w:rPr>
      </w:pPr>
      <w:r>
        <w:rPr>
          <w:spacing w:val="-3"/>
          <w:sz w:val="24"/>
        </w:rPr>
      </w:r>
    </w:p>
    <w:p>
      <w:pPr>
        <w:pStyle w:val="Normal"/>
        <w:tabs>
          <w:tab w:val="clear" w:pos="720"/>
          <w:tab w:val="left" w:pos="0" w:leader="none"/>
        </w:tabs>
        <w:suppressAutoHyphens w:val="true"/>
        <w:ind w:start="720" w:end="0"/>
        <w:jc w:val="both"/>
        <w:rPr>
          <w:spacing w:val="-3"/>
          <w:sz w:val="24"/>
        </w:rPr>
      </w:pPr>
      <w:r>
        <w:rPr>
          <w:spacing w:val="-3"/>
          <w:sz w:val="24"/>
        </w:rPr>
        <w:t>RESOLVED, that the following applications for membership in the categories indicated be, and the same hereby are, approved; and that, subject to the receipt by the Association of payment of an annual membership fee of $25,000 for each Primary Member, $10,000 for each Associate Member, $15,000 for each Associate Broker Member, and $3,000 for each Subscriber Member, the following institutions be, and the same hereby are, elected members of the Association as indicated below:</w:t>
      </w:r>
    </w:p>
    <w:p>
      <w:pPr>
        <w:pStyle w:val="Normal"/>
        <w:tabs>
          <w:tab w:val="clear" w:pos="720"/>
          <w:tab w:val="left" w:pos="0" w:leader="none"/>
        </w:tabs>
        <w:suppressAutoHyphens w:val="true"/>
        <w:ind w:start="720" w:end="0"/>
        <w:jc w:val="both"/>
        <w:rPr>
          <w:spacing w:val="-3"/>
          <w:sz w:val="24"/>
        </w:rPr>
      </w:pPr>
      <w:r>
        <w:rPr>
          <w:spacing w:val="-3"/>
          <w:sz w:val="24"/>
        </w:rPr>
      </w:r>
    </w:p>
    <w:tbl>
      <w:tblPr>
        <w:tblW w:w="8370" w:type="dxa"/>
        <w:jc w:val="start"/>
        <w:tblInd w:w="558" w:type="dxa"/>
        <w:tblLayout w:type="fixed"/>
        <w:tblCellMar>
          <w:top w:w="0" w:type="dxa"/>
          <w:start w:w="108" w:type="dxa"/>
          <w:bottom w:w="0" w:type="dxa"/>
          <w:end w:w="108" w:type="dxa"/>
        </w:tblCellMar>
      </w:tblPr>
      <w:tblGrid>
        <w:gridCol w:w="5220"/>
        <w:gridCol w:w="3150"/>
      </w:tblGrid>
      <w:tr>
        <w:trPr/>
        <w:tc>
          <w:tcPr>
            <w:tcW w:w="5220" w:type="dxa"/>
            <w:tcBorders/>
          </w:tcPr>
          <w:p>
            <w:pPr>
              <w:pStyle w:val="Heading6"/>
              <w:rPr/>
            </w:pPr>
            <w:r>
              <w:rPr/>
              <w:t>Accord Energy Limited</w:t>
            </w:r>
          </w:p>
        </w:tc>
        <w:tc>
          <w:tcPr>
            <w:tcW w:w="3150" w:type="dxa"/>
            <w:tcBorders/>
          </w:tcPr>
          <w:p>
            <w:pPr>
              <w:pStyle w:val="Normal"/>
              <w:suppressAutoHyphens w:val="true"/>
              <w:jc w:val="both"/>
              <w:rPr>
                <w:spacing w:val="-3"/>
                <w:sz w:val="24"/>
              </w:rPr>
            </w:pPr>
            <w:r>
              <w:rPr>
                <w:spacing w:val="-3"/>
                <w:sz w:val="24"/>
              </w:rPr>
              <w:t>Primary Membership</w:t>
            </w:r>
          </w:p>
        </w:tc>
      </w:tr>
      <w:tr>
        <w:trPr/>
        <w:tc>
          <w:tcPr>
            <w:tcW w:w="5220" w:type="dxa"/>
            <w:tcBorders/>
          </w:tcPr>
          <w:p>
            <w:pPr>
              <w:pStyle w:val="Normal"/>
              <w:suppressAutoHyphens w:val="true"/>
              <w:ind w:start="1422" w:end="0"/>
              <w:jc w:val="both"/>
              <w:rPr>
                <w:spacing w:val="-3"/>
                <w:sz w:val="24"/>
              </w:rPr>
            </w:pPr>
            <w:r>
              <w:rPr>
                <w:spacing w:val="-3"/>
                <w:sz w:val="24"/>
              </w:rPr>
              <w:t>PNC Bank, NA</w:t>
            </w:r>
          </w:p>
        </w:tc>
        <w:tc>
          <w:tcPr>
            <w:tcW w:w="3150" w:type="dxa"/>
            <w:tcBorders/>
          </w:tcPr>
          <w:p>
            <w:pPr>
              <w:pStyle w:val="Normal"/>
              <w:suppressAutoHyphens w:val="true"/>
              <w:jc w:val="both"/>
              <w:rPr>
                <w:spacing w:val="-3"/>
                <w:sz w:val="24"/>
              </w:rPr>
            </w:pPr>
            <w:r>
              <w:rPr>
                <w:spacing w:val="-3"/>
                <w:sz w:val="24"/>
              </w:rPr>
              <w:t>Primary Membership</w:t>
            </w:r>
          </w:p>
        </w:tc>
      </w:tr>
      <w:tr>
        <w:trPr/>
        <w:tc>
          <w:tcPr>
            <w:tcW w:w="5220" w:type="dxa"/>
            <w:tcBorders/>
          </w:tcPr>
          <w:p>
            <w:pPr>
              <w:pStyle w:val="Normal"/>
              <w:suppressAutoHyphens w:val="true"/>
              <w:ind w:start="1422" w:end="0"/>
              <w:jc w:val="both"/>
              <w:rPr>
                <w:spacing w:val="-3"/>
                <w:sz w:val="24"/>
              </w:rPr>
            </w:pPr>
            <w:r>
              <w:rPr>
                <w:spacing w:val="-3"/>
                <w:sz w:val="24"/>
              </w:rPr>
              <w:t>Allen &amp; Gledhill</w:t>
            </w:r>
          </w:p>
        </w:tc>
        <w:tc>
          <w:tcPr>
            <w:tcW w:w="3150" w:type="dxa"/>
            <w:tcBorders/>
          </w:tcPr>
          <w:p>
            <w:pPr>
              <w:pStyle w:val="Normal"/>
              <w:suppressAutoHyphens w:val="true"/>
              <w:jc w:val="both"/>
              <w:rPr>
                <w:spacing w:val="-3"/>
                <w:sz w:val="24"/>
              </w:rPr>
            </w:pPr>
            <w:r>
              <w:rPr>
                <w:spacing w:val="-3"/>
                <w:sz w:val="24"/>
              </w:rPr>
              <w:t>Associate Membership</w:t>
            </w:r>
          </w:p>
        </w:tc>
      </w:tr>
      <w:tr>
        <w:trPr/>
        <w:tc>
          <w:tcPr>
            <w:tcW w:w="5220" w:type="dxa"/>
            <w:tcBorders/>
          </w:tcPr>
          <w:p>
            <w:pPr>
              <w:pStyle w:val="Normal"/>
              <w:suppressAutoHyphens w:val="true"/>
              <w:ind w:start="1422" w:end="0"/>
              <w:jc w:val="both"/>
              <w:rPr>
                <w:spacing w:val="-3"/>
                <w:sz w:val="24"/>
              </w:rPr>
            </w:pPr>
            <w:r>
              <w:rPr>
                <w:spacing w:val="-3"/>
                <w:sz w:val="24"/>
              </w:rPr>
              <w:t>Mori Sogo Law Offices</w:t>
            </w:r>
          </w:p>
        </w:tc>
        <w:tc>
          <w:tcPr>
            <w:tcW w:w="3150" w:type="dxa"/>
            <w:tcBorders/>
          </w:tcPr>
          <w:p>
            <w:pPr>
              <w:pStyle w:val="Normal"/>
              <w:suppressAutoHyphens w:val="true"/>
              <w:jc w:val="both"/>
              <w:rPr>
                <w:spacing w:val="-3"/>
                <w:sz w:val="24"/>
              </w:rPr>
            </w:pPr>
            <w:r>
              <w:rPr>
                <w:spacing w:val="-3"/>
                <w:sz w:val="24"/>
              </w:rPr>
              <w:t>Associate Membership</w:t>
            </w:r>
          </w:p>
        </w:tc>
      </w:tr>
      <w:tr>
        <w:trPr/>
        <w:tc>
          <w:tcPr>
            <w:tcW w:w="5220" w:type="dxa"/>
            <w:tcBorders/>
          </w:tcPr>
          <w:p>
            <w:pPr>
              <w:pStyle w:val="Normal"/>
              <w:suppressAutoHyphens w:val="true"/>
              <w:ind w:start="1422" w:end="0"/>
              <w:jc w:val="both"/>
              <w:rPr>
                <w:spacing w:val="-3"/>
                <w:sz w:val="24"/>
              </w:rPr>
            </w:pPr>
            <w:r>
              <w:rPr>
                <w:spacing w:val="-3"/>
                <w:sz w:val="24"/>
              </w:rPr>
              <w:t>O’Melveny &amp; Meyers LLP</w:t>
            </w:r>
          </w:p>
        </w:tc>
        <w:tc>
          <w:tcPr>
            <w:tcW w:w="3150" w:type="dxa"/>
            <w:tcBorders/>
          </w:tcPr>
          <w:p>
            <w:pPr>
              <w:pStyle w:val="Normal"/>
              <w:suppressAutoHyphens w:val="true"/>
              <w:jc w:val="both"/>
              <w:rPr>
                <w:spacing w:val="-3"/>
                <w:sz w:val="24"/>
              </w:rPr>
            </w:pPr>
            <w:r>
              <w:rPr>
                <w:spacing w:val="-3"/>
                <w:sz w:val="24"/>
              </w:rPr>
              <w:t>Associate Membership</w:t>
            </w:r>
          </w:p>
        </w:tc>
      </w:tr>
      <w:tr>
        <w:trPr/>
        <w:tc>
          <w:tcPr>
            <w:tcW w:w="5220" w:type="dxa"/>
            <w:tcBorders/>
          </w:tcPr>
          <w:p>
            <w:pPr>
              <w:pStyle w:val="Normal"/>
              <w:suppressAutoHyphens w:val="true"/>
              <w:ind w:start="1422" w:end="0"/>
              <w:jc w:val="both"/>
              <w:rPr>
                <w:spacing w:val="-3"/>
                <w:sz w:val="24"/>
              </w:rPr>
            </w:pPr>
            <w:r>
              <w:rPr>
                <w:spacing w:val="-3"/>
                <w:sz w:val="24"/>
              </w:rPr>
              <w:t>TriOptima</w:t>
            </w:r>
          </w:p>
        </w:tc>
        <w:tc>
          <w:tcPr>
            <w:tcW w:w="3150" w:type="dxa"/>
            <w:tcBorders/>
          </w:tcPr>
          <w:p>
            <w:pPr>
              <w:pStyle w:val="Normal"/>
              <w:suppressAutoHyphens w:val="true"/>
              <w:jc w:val="both"/>
              <w:rPr>
                <w:spacing w:val="-3"/>
                <w:sz w:val="24"/>
              </w:rPr>
            </w:pPr>
            <w:r>
              <w:rPr>
                <w:spacing w:val="-3"/>
                <w:sz w:val="24"/>
              </w:rPr>
              <w:t>Associate Membership</w:t>
            </w:r>
          </w:p>
        </w:tc>
      </w:tr>
      <w:tr>
        <w:trPr/>
        <w:tc>
          <w:tcPr>
            <w:tcW w:w="5220" w:type="dxa"/>
            <w:tcBorders/>
          </w:tcPr>
          <w:p>
            <w:pPr>
              <w:pStyle w:val="Normal"/>
              <w:suppressAutoHyphens w:val="true"/>
              <w:ind w:start="1422" w:end="0"/>
              <w:jc w:val="both"/>
              <w:rPr>
                <w:spacing w:val="-3"/>
                <w:sz w:val="24"/>
              </w:rPr>
            </w:pPr>
            <w:r>
              <w:rPr>
                <w:spacing w:val="-3"/>
                <w:sz w:val="24"/>
              </w:rPr>
              <w:t>Cantor Fitzgerald International</w:t>
            </w:r>
          </w:p>
        </w:tc>
        <w:tc>
          <w:tcPr>
            <w:tcW w:w="3150" w:type="dxa"/>
            <w:tcBorders/>
          </w:tcPr>
          <w:p>
            <w:pPr>
              <w:pStyle w:val="Normal"/>
              <w:suppressAutoHyphens w:val="true"/>
              <w:jc w:val="both"/>
              <w:rPr>
                <w:spacing w:val="-3"/>
                <w:sz w:val="24"/>
              </w:rPr>
            </w:pPr>
            <w:r>
              <w:rPr>
                <w:spacing w:val="-3"/>
                <w:sz w:val="24"/>
              </w:rPr>
              <w:t>Associate Broker Membership</w:t>
            </w:r>
          </w:p>
        </w:tc>
      </w:tr>
      <w:tr>
        <w:trPr/>
        <w:tc>
          <w:tcPr>
            <w:tcW w:w="5220" w:type="dxa"/>
            <w:tcBorders/>
          </w:tcPr>
          <w:p>
            <w:pPr>
              <w:pStyle w:val="Normal"/>
              <w:suppressAutoHyphens w:val="true"/>
              <w:ind w:start="1422" w:end="0"/>
              <w:jc w:val="both"/>
              <w:rPr>
                <w:spacing w:val="-3"/>
                <w:sz w:val="24"/>
              </w:rPr>
            </w:pPr>
            <w:r>
              <w:rPr>
                <w:spacing w:val="-3"/>
                <w:sz w:val="24"/>
              </w:rPr>
              <w:t>e-Mid S.p.A.</w:t>
            </w:r>
          </w:p>
        </w:tc>
        <w:tc>
          <w:tcPr>
            <w:tcW w:w="3150" w:type="dxa"/>
            <w:tcBorders/>
          </w:tcPr>
          <w:p>
            <w:pPr>
              <w:pStyle w:val="Normal"/>
              <w:suppressAutoHyphens w:val="true"/>
              <w:jc w:val="both"/>
              <w:rPr>
                <w:spacing w:val="-3"/>
                <w:sz w:val="24"/>
              </w:rPr>
            </w:pPr>
            <w:r>
              <w:rPr>
                <w:spacing w:val="-3"/>
                <w:sz w:val="24"/>
              </w:rPr>
              <w:t>Associate Broker Membership</w:t>
            </w:r>
          </w:p>
        </w:tc>
      </w:tr>
      <w:tr>
        <w:trPr/>
        <w:tc>
          <w:tcPr>
            <w:tcW w:w="5220" w:type="dxa"/>
            <w:tcBorders/>
          </w:tcPr>
          <w:p>
            <w:pPr>
              <w:pStyle w:val="Normal"/>
              <w:suppressAutoHyphens w:val="true"/>
              <w:jc w:val="both"/>
              <w:rPr>
                <w:spacing w:val="-3"/>
                <w:sz w:val="24"/>
              </w:rPr>
            </w:pPr>
            <w:r>
              <w:rPr>
                <w:spacing w:val="-3"/>
                <w:sz w:val="24"/>
              </w:rPr>
              <w:t>Treasury Connect</w:t>
            </w:r>
          </w:p>
        </w:tc>
        <w:tc>
          <w:tcPr>
            <w:tcW w:w="3150" w:type="dxa"/>
            <w:tcBorders/>
          </w:tcPr>
          <w:p>
            <w:pPr>
              <w:pStyle w:val="Normal"/>
              <w:suppressAutoHyphens w:val="true"/>
              <w:jc w:val="both"/>
              <w:rPr>
                <w:spacing w:val="-3"/>
                <w:sz w:val="24"/>
              </w:rPr>
            </w:pPr>
            <w:r>
              <w:rPr>
                <w:spacing w:val="-3"/>
                <w:sz w:val="24"/>
              </w:rPr>
              <w:t>Associate Broker Membership</w:t>
            </w:r>
          </w:p>
        </w:tc>
      </w:tr>
      <w:tr>
        <w:trPr/>
        <w:tc>
          <w:tcPr>
            <w:tcW w:w="5220" w:type="dxa"/>
            <w:tcBorders/>
          </w:tcPr>
          <w:p>
            <w:pPr>
              <w:pStyle w:val="Normal"/>
              <w:suppressAutoHyphens w:val="true"/>
              <w:jc w:val="both"/>
              <w:rPr>
                <w:spacing w:val="-3"/>
                <w:sz w:val="24"/>
              </w:rPr>
            </w:pPr>
            <w:r>
              <w:rPr>
                <w:spacing w:val="-3"/>
                <w:sz w:val="24"/>
              </w:rPr>
              <w:t>Bayview Financial Trading Group, L.P.</w:t>
            </w:r>
          </w:p>
        </w:tc>
        <w:tc>
          <w:tcPr>
            <w:tcW w:w="3150" w:type="dxa"/>
            <w:tcBorders/>
          </w:tcPr>
          <w:p>
            <w:pPr>
              <w:pStyle w:val="Normal"/>
              <w:suppressAutoHyphens w:val="true"/>
              <w:jc w:val="both"/>
              <w:rPr>
                <w:spacing w:val="-3"/>
                <w:sz w:val="24"/>
              </w:rPr>
            </w:pPr>
            <w:r>
              <w:rPr>
                <w:spacing w:val="-3"/>
                <w:sz w:val="24"/>
              </w:rPr>
              <w:t>Subscriber Membership</w:t>
            </w:r>
          </w:p>
        </w:tc>
      </w:tr>
      <w:tr>
        <w:trPr/>
        <w:tc>
          <w:tcPr>
            <w:tcW w:w="5220" w:type="dxa"/>
            <w:tcBorders/>
          </w:tcPr>
          <w:p>
            <w:pPr>
              <w:pStyle w:val="Normal"/>
              <w:suppressAutoHyphens w:val="true"/>
              <w:jc w:val="both"/>
              <w:rPr>
                <w:spacing w:val="-3"/>
                <w:sz w:val="24"/>
              </w:rPr>
            </w:pPr>
            <w:r>
              <w:rPr>
                <w:spacing w:val="-3"/>
                <w:sz w:val="24"/>
              </w:rPr>
              <w:t>Inter-American Development Bank</w:t>
            </w:r>
          </w:p>
        </w:tc>
        <w:tc>
          <w:tcPr>
            <w:tcW w:w="3150" w:type="dxa"/>
            <w:tcBorders/>
          </w:tcPr>
          <w:p>
            <w:pPr>
              <w:pStyle w:val="Normal"/>
              <w:suppressAutoHyphens w:val="true"/>
              <w:jc w:val="both"/>
              <w:rPr>
                <w:spacing w:val="-3"/>
                <w:sz w:val="24"/>
              </w:rPr>
            </w:pPr>
            <w:r>
              <w:rPr>
                <w:spacing w:val="-3"/>
                <w:sz w:val="24"/>
              </w:rPr>
              <w:t>Subscriber Membership</w:t>
            </w:r>
          </w:p>
        </w:tc>
      </w:tr>
      <w:tr>
        <w:trPr/>
        <w:tc>
          <w:tcPr>
            <w:tcW w:w="5220" w:type="dxa"/>
            <w:tcBorders/>
          </w:tcPr>
          <w:p>
            <w:pPr>
              <w:pStyle w:val="Normal"/>
              <w:suppressAutoHyphens w:val="true"/>
              <w:jc w:val="both"/>
              <w:rPr>
                <w:spacing w:val="-3"/>
                <w:sz w:val="24"/>
              </w:rPr>
            </w:pPr>
            <w:r>
              <w:rPr>
                <w:spacing w:val="-3"/>
                <w:sz w:val="24"/>
              </w:rPr>
              <w:t>Societe Nationale de Chemins de Fer Belges (SNCB)</w:t>
            </w:r>
          </w:p>
        </w:tc>
        <w:tc>
          <w:tcPr>
            <w:tcW w:w="3150" w:type="dxa"/>
            <w:tcBorders/>
          </w:tcPr>
          <w:p>
            <w:pPr>
              <w:pStyle w:val="Normal"/>
              <w:suppressAutoHyphens w:val="true"/>
              <w:jc w:val="both"/>
              <w:rPr>
                <w:spacing w:val="-3"/>
                <w:sz w:val="24"/>
              </w:rPr>
            </w:pPr>
            <w:r>
              <w:rPr>
                <w:spacing w:val="-3"/>
                <w:sz w:val="24"/>
              </w:rPr>
              <w:t>Subscriber Membership</w:t>
            </w:r>
          </w:p>
        </w:tc>
      </w:tr>
    </w:tbl>
    <w:p>
      <w:pPr>
        <w:pStyle w:val="Normal"/>
        <w:tabs>
          <w:tab w:val="left" w:pos="720" w:leader="none"/>
          <w:tab w:val="left" w:pos="1080" w:leader="none"/>
          <w:tab w:val="left" w:pos="1530" w:leader="none"/>
        </w:tabs>
        <w:ind w:start="1170" w:end="0"/>
        <w:jc w:val="both"/>
        <w:rPr>
          <w:spacing w:val="-3"/>
          <w:sz w:val="24"/>
          <w:lang w:eastAsia="en-US"/>
        </w:rPr>
      </w:pPr>
      <w:r>
        <w:rPr>
          <w:spacing w:val="-3"/>
          <w:sz w:val="24"/>
          <w:lang w:eastAsia="en-US"/>
        </w:rPr>
      </w:r>
    </w:p>
    <w:p>
      <w:pPr>
        <w:pStyle w:val="BodyText"/>
        <w:jc w:val="both"/>
        <w:rPr/>
      </w:pPr>
      <w:r>
        <w:rPr/>
        <w:t>A question was raised regarding the point during the year when members are moved from one level of membership to another. Mr. Grove indicated that this action is typically taken at the beginning of the year, when dues invoices are sent.  He solicited input from the Board prior to the November Board meeting to determine which members should be moved to a different membership level.</w:t>
      </w:r>
    </w:p>
    <w:p>
      <w:pPr>
        <w:pStyle w:val="Normal"/>
        <w:jc w:val="both"/>
        <w:rPr>
          <w:sz w:val="24"/>
        </w:rPr>
      </w:pPr>
      <w:r>
        <w:rPr>
          <w:sz w:val="24"/>
        </w:rPr>
      </w:r>
    </w:p>
    <w:p>
      <w:pPr>
        <w:pStyle w:val="BodyText2"/>
        <w:rPr/>
      </w:pPr>
      <w:r>
        <w:rPr/>
        <w:t>Mr. Grove noted that, with the election of new members at this meeting, the Association had exceeded the 500 member level.  He thanked members of the Board, Ms. Cunningham and others involved in the recruitment process for their efforts in achieving this milestone.</w:t>
      </w:r>
    </w:p>
    <w:p>
      <w:pPr>
        <w:pStyle w:val="Normal"/>
        <w:jc w:val="both"/>
        <w:rPr>
          <w:sz w:val="24"/>
        </w:rPr>
      </w:pPr>
      <w:r>
        <w:rPr>
          <w:sz w:val="24"/>
        </w:rPr>
      </w:r>
    </w:p>
    <w:p>
      <w:pPr>
        <w:pStyle w:val="Heading1"/>
        <w:ind w:hanging="0" w:start="0"/>
        <w:jc w:val="both"/>
        <w:rPr/>
      </w:pPr>
      <w:r>
        <w:rPr/>
        <w:t>Election of Executive Committee</w:t>
      </w:r>
    </w:p>
    <w:p>
      <w:pPr>
        <w:pStyle w:val="Normal"/>
        <w:jc w:val="both"/>
        <w:rPr>
          <w:sz w:val="24"/>
        </w:rPr>
      </w:pPr>
      <w:r>
        <w:rPr>
          <w:sz w:val="24"/>
        </w:rPr>
      </w:r>
    </w:p>
    <w:p>
      <w:pPr>
        <w:pStyle w:val="Normal"/>
        <w:tabs>
          <w:tab w:val="clear" w:pos="720"/>
          <w:tab w:val="left" w:pos="0" w:leader="none"/>
        </w:tabs>
        <w:suppressAutoHyphens w:val="true"/>
        <w:jc w:val="both"/>
        <w:rPr/>
      </w:pPr>
      <w:r>
        <w:rPr>
          <w:sz w:val="24"/>
        </w:rPr>
        <w:t>Mr. Bailey noted that the next order of business was the reduction in the size of the Executive Committee and the election of</w:t>
      </w:r>
      <w:r>
        <w:rPr>
          <w:spacing w:val="-3"/>
          <w:sz w:val="24"/>
        </w:rPr>
        <w:t xml:space="preserve"> two Board Members to the Executive Committee for a six month term.  Mr. Bailey thanked Diane Genova, Luciano Steve and Teruo Tanaka for serving during the previous six months. He then nominated Jerry del Missier and Ernest Patrikis to serve six month terms pursuant to the resolutions of the Board that had established the Executive Committee.  Following a discussion, upon motion duly made, the following resolution was adopted:</w:t>
      </w:r>
    </w:p>
    <w:p>
      <w:pPr>
        <w:pStyle w:val="Normal"/>
        <w:tabs>
          <w:tab w:val="clear" w:pos="720"/>
          <w:tab w:val="left" w:pos="0" w:leader="none"/>
        </w:tabs>
        <w:suppressAutoHyphens w:val="true"/>
        <w:jc w:val="both"/>
        <w:rPr>
          <w:spacing w:val="-3"/>
          <w:sz w:val="24"/>
        </w:rPr>
      </w:pPr>
      <w:r>
        <w:rPr>
          <w:spacing w:val="-3"/>
          <w:sz w:val="24"/>
        </w:rPr>
      </w:r>
    </w:p>
    <w:p>
      <w:pPr>
        <w:pStyle w:val="BodyTextIndent"/>
        <w:ind w:hanging="0" w:end="0"/>
        <w:rPr/>
      </w:pPr>
      <w:r>
        <w:rPr>
          <w:caps/>
        </w:rPr>
        <w:t>Resolved</w:t>
      </w:r>
      <w:r>
        <w:rPr/>
        <w:t>, that the number of Directors who serve on the Executive Committee who are neither officers of the Association nor the Executive Director be, and it hereby is, reduced to two Directors.</w:t>
      </w:r>
    </w:p>
    <w:p>
      <w:pPr>
        <w:pStyle w:val="BodyTextIndent"/>
        <w:ind w:hanging="0" w:end="0"/>
        <w:rPr/>
      </w:pPr>
      <w:r>
        <w:rPr/>
      </w:r>
    </w:p>
    <w:p>
      <w:pPr>
        <w:pStyle w:val="BodyTextIndent"/>
        <w:ind w:hanging="0" w:end="0"/>
        <w:rPr/>
      </w:pPr>
      <w:r>
        <w:rPr/>
        <w:t>RESOLVED, that Jerry del Missier and Ernest Patrikis be, and hereby are, elected to serve a six month term as members of the Executive Committee of the Board of Directors.</w:t>
      </w:r>
    </w:p>
    <w:p>
      <w:pPr>
        <w:pStyle w:val="Normal"/>
        <w:jc w:val="both"/>
        <w:rPr>
          <w:sz w:val="24"/>
        </w:rPr>
      </w:pPr>
      <w:r>
        <w:rPr>
          <w:sz w:val="24"/>
        </w:rPr>
      </w:r>
    </w:p>
    <w:p>
      <w:pPr>
        <w:pStyle w:val="Heading1"/>
        <w:ind w:hanging="0" w:start="0"/>
        <w:jc w:val="both"/>
        <w:rPr/>
      </w:pPr>
      <w:r>
        <w:rPr/>
        <w:t>Review of ISDA’s Risk Management Activities</w:t>
      </w:r>
    </w:p>
    <w:p>
      <w:pPr>
        <w:pStyle w:val="Normal"/>
        <w:jc w:val="both"/>
        <w:rPr>
          <w:sz w:val="24"/>
        </w:rPr>
      </w:pPr>
      <w:r>
        <w:rPr>
          <w:sz w:val="24"/>
        </w:rPr>
      </w:r>
    </w:p>
    <w:p>
      <w:pPr>
        <w:pStyle w:val="Normal"/>
        <w:jc w:val="both"/>
        <w:rPr>
          <w:sz w:val="24"/>
        </w:rPr>
      </w:pPr>
      <w:r>
        <w:rPr>
          <w:sz w:val="24"/>
        </w:rPr>
        <w:t>Mr. Bailey briefly described the strong foundation on risk management that had been established by Emmanuelle Sebton and the efforts of the Association in responding to the Basle Committee. He mentioned that Basle-related issues were certain to keep the Association busy through next year, but that it was appropriate to determine now what the Association’s risk management focus would be beyond that. He stated his view that the Association should be considered to be one of the top risk management associations. He then asked Ms. Sebton to summarize her memorandum to the Board on proposed activities.</w:t>
      </w:r>
    </w:p>
    <w:p>
      <w:pPr>
        <w:pStyle w:val="Normal"/>
        <w:jc w:val="both"/>
        <w:rPr>
          <w:sz w:val="24"/>
        </w:rPr>
      </w:pPr>
      <w:r>
        <w:rPr>
          <w:sz w:val="24"/>
        </w:rPr>
      </w:r>
    </w:p>
    <w:p>
      <w:pPr>
        <w:pStyle w:val="Normal"/>
        <w:jc w:val="both"/>
        <w:rPr>
          <w:sz w:val="24"/>
        </w:rPr>
      </w:pPr>
      <w:r>
        <w:rPr>
          <w:sz w:val="24"/>
        </w:rPr>
        <w:t>Ms. Sebton referred directors to her memorandum and highlighted several aspects. She noted past efforts to collaborate with the European Banking Federation (EBF) and the Institute for International Finance (IIF) on projects in the past. She noted that the efforts with IIF have not worked out, and that the EBF seems more open to collaboration. She proposed that the relationship with EBF be formalized, and that the initial joint effort would be on benchmarking on risk parameters.</w:t>
      </w:r>
    </w:p>
    <w:p>
      <w:pPr>
        <w:pStyle w:val="Normal"/>
        <w:jc w:val="both"/>
        <w:rPr>
          <w:sz w:val="24"/>
        </w:rPr>
      </w:pPr>
      <w:r>
        <w:rPr>
          <w:sz w:val="24"/>
        </w:rPr>
      </w:r>
    </w:p>
    <w:p>
      <w:pPr>
        <w:pStyle w:val="Normal"/>
        <w:jc w:val="both"/>
        <w:rPr>
          <w:sz w:val="24"/>
        </w:rPr>
      </w:pPr>
      <w:r>
        <w:rPr>
          <w:sz w:val="24"/>
        </w:rPr>
        <w:t>A discussion ensued on the merits of cooperating with the EBF on one or more risk management projects. In general, there was support for cooperation given the efficiency in the use of both organization’s resources and the resulting benefit for members, but it was acknowledged that the areas of cooperation must be clearly defined. Cooperation with EBF would be the focus, but there was also support expressed for continuing dialogue, if possible, with the IIF and for commencing a dialogue with the Global Association of Risk Professionals. Several board members stressed that any cooperation with the EBF must not compromise the Association’s views on other matters in which the EBF has an interest, particularly the European Master Agreement.</w:t>
      </w:r>
    </w:p>
    <w:p>
      <w:pPr>
        <w:pStyle w:val="Normal"/>
        <w:jc w:val="both"/>
        <w:rPr>
          <w:sz w:val="24"/>
        </w:rPr>
      </w:pPr>
      <w:r>
        <w:rPr>
          <w:sz w:val="24"/>
        </w:rPr>
      </w:r>
    </w:p>
    <w:p>
      <w:pPr>
        <w:pStyle w:val="Normal"/>
        <w:jc w:val="both"/>
        <w:rPr>
          <w:sz w:val="24"/>
        </w:rPr>
      </w:pPr>
      <w:r>
        <w:rPr>
          <w:sz w:val="24"/>
        </w:rPr>
        <w:t>The discussion then turned to the increasingly analytical nature of some of the projects in the risk management area and whether additional staff resources were required to fill this analytical role. While there was interest in the idea of hiring someone with the requisite analytical background, there was a view expressed that the role for such a person be well defined.  There was also interest in determining whether there was any material of a commercial nature that could be generated from analytical work. The possibility of teaming up with a commercial entity to provide such services was mentioned as a possibility, but Ms. Sebton indicated that the Association had taken a neutral position when approached in the past by such entities.</w:t>
      </w:r>
    </w:p>
    <w:p>
      <w:pPr>
        <w:pStyle w:val="Normal"/>
        <w:jc w:val="both"/>
        <w:rPr>
          <w:sz w:val="24"/>
        </w:rPr>
      </w:pPr>
      <w:r>
        <w:rPr>
          <w:sz w:val="24"/>
        </w:rPr>
      </w:r>
    </w:p>
    <w:p>
      <w:pPr>
        <w:pStyle w:val="BodyText2"/>
        <w:rPr/>
      </w:pPr>
      <w:r>
        <w:rPr/>
        <w:t>The result of the discussion on internal staff analytical abilities was that some signal should be sent that ISDA would like to have someone with analytical capacity involved on the risk management side, but that consideration be given to teaming up with a commercial venture such as KMV or Oliver Wyman as an alternative.</w:t>
      </w:r>
    </w:p>
    <w:p>
      <w:pPr>
        <w:pStyle w:val="Normal"/>
        <w:jc w:val="both"/>
        <w:rPr>
          <w:sz w:val="24"/>
        </w:rPr>
      </w:pPr>
      <w:r>
        <w:rPr>
          <w:sz w:val="24"/>
        </w:rPr>
      </w:r>
    </w:p>
    <w:p>
      <w:pPr>
        <w:pStyle w:val="Heading1"/>
        <w:ind w:hanging="0" w:start="0"/>
        <w:jc w:val="both"/>
        <w:rPr/>
      </w:pPr>
      <w:r>
        <w:rPr/>
        <w:t>Electronic Delivery of ISDA Documentation</w:t>
      </w:r>
    </w:p>
    <w:p>
      <w:pPr>
        <w:pStyle w:val="Normal"/>
        <w:jc w:val="both"/>
        <w:rPr>
          <w:sz w:val="24"/>
        </w:rPr>
      </w:pPr>
      <w:r>
        <w:rPr>
          <w:sz w:val="24"/>
        </w:rPr>
      </w:r>
    </w:p>
    <w:p>
      <w:pPr>
        <w:pStyle w:val="Normal"/>
        <w:jc w:val="both"/>
        <w:rPr>
          <w:sz w:val="24"/>
        </w:rPr>
      </w:pPr>
      <w:r>
        <w:rPr>
          <w:sz w:val="24"/>
        </w:rPr>
        <w:t>Mr. Pickel reported on the results of the request for proposals that had been circulated to the Board shortly after being issued.  The RFP described three elements of a documentation management system: electronic versions of ISDA documentation; guidance on specific issues and a negotiation facility intended to expedite the counterparty negotiation process.  The RFP sought bids on the third element.  He reviewed the six responses that had been received to date from a combination of entities, including law firms, a dealer institution, Reuters, an accounting firm and a trade association.  A question was raised as to whether these combinations shared legal but not sufficient technological expertise.</w:t>
      </w:r>
    </w:p>
    <w:p>
      <w:pPr>
        <w:pStyle w:val="Normal"/>
        <w:jc w:val="both"/>
        <w:rPr>
          <w:sz w:val="24"/>
        </w:rPr>
      </w:pPr>
      <w:r>
        <w:rPr>
          <w:sz w:val="24"/>
        </w:rPr>
      </w:r>
    </w:p>
    <w:p>
      <w:pPr>
        <w:pStyle w:val="Normal"/>
        <w:jc w:val="both"/>
        <w:rPr>
          <w:sz w:val="24"/>
        </w:rPr>
      </w:pPr>
      <w:r>
        <w:rPr>
          <w:sz w:val="24"/>
        </w:rPr>
        <w:t>As the RFP had been vague on detail and fee structure, further discussion was necessary among a designated small group of the Board.  The Board then briefly discussed ISDA’s right to license (exclusively or not) its documentation to others as against the policy question of whether the membership owns the documentation.</w:t>
      </w:r>
    </w:p>
    <w:p>
      <w:pPr>
        <w:pStyle w:val="Normal"/>
        <w:jc w:val="both"/>
        <w:rPr>
          <w:sz w:val="24"/>
        </w:rPr>
      </w:pPr>
      <w:r>
        <w:rPr>
          <w:sz w:val="24"/>
        </w:rPr>
      </w:r>
    </w:p>
    <w:p>
      <w:pPr>
        <w:pStyle w:val="Normal"/>
        <w:jc w:val="both"/>
        <w:rPr>
          <w:sz w:val="24"/>
        </w:rPr>
      </w:pPr>
      <w:r>
        <w:rPr>
          <w:sz w:val="24"/>
        </w:rPr>
        <w:t xml:space="preserve">Mr. Pickel explained the two methods of electronic access: internet access – purchased on a per user fee basis – and intranet access – purchased by an institution with unlimited internal use and carrying a flat annual fee.  He compared the pricing scenarios included in a spreadsheet distributed to the Board (based on the stated use assumptions):  (1) high initial/low subsequent fees; (2) medium initial/higher subsequent fees; and (3) medium initial/medium subsequent fees.  The third option carried a modestly higher intranet fee.  Mr. Pickel recommended Scenario (3) as some members already provide ISDA internally via their intranets.  </w:t>
      </w:r>
    </w:p>
    <w:p>
      <w:pPr>
        <w:pStyle w:val="Normal"/>
        <w:jc w:val="both"/>
        <w:rPr>
          <w:sz w:val="24"/>
        </w:rPr>
      </w:pPr>
      <w:r>
        <w:rPr>
          <w:sz w:val="24"/>
        </w:rPr>
      </w:r>
    </w:p>
    <w:p>
      <w:pPr>
        <w:pStyle w:val="Normal"/>
        <w:jc w:val="both"/>
        <w:rPr>
          <w:sz w:val="24"/>
        </w:rPr>
      </w:pPr>
      <w:r>
        <w:rPr>
          <w:sz w:val="24"/>
        </w:rPr>
        <w:t>Discussion followed on the questions of continuing to sell paper documents; whether to provide the master agreement (the operating system) for no charge and to sell definitions booklets (the software); whether to charge only non-members for providing the master agreement and adjust fees in emerging markets; and whether licensing facilities could replace document sales as a revenue source. Issues around updating of documentation and related delivery methods were discussed as well.  Mr. Pickel was asked to review the Pricing Scenarios with a view toward replacing the more than $600,000 in annualhard copy sales and with consideration of a cost structure reflecting member size.</w:t>
      </w:r>
    </w:p>
    <w:p>
      <w:pPr>
        <w:pStyle w:val="Normal"/>
        <w:rPr>
          <w:sz w:val="24"/>
        </w:rPr>
      </w:pPr>
      <w:r>
        <w:rPr>
          <w:sz w:val="24"/>
        </w:rPr>
      </w:r>
    </w:p>
    <w:p>
      <w:pPr>
        <w:pStyle w:val="Heading1"/>
        <w:ind w:hanging="0" w:start="0"/>
        <w:jc w:val="both"/>
        <w:rPr/>
      </w:pPr>
      <w:r>
        <w:rPr/>
        <w:t>Single Multi-Product Master Agreement and Related Issues</w:t>
      </w:r>
    </w:p>
    <w:p>
      <w:pPr>
        <w:pStyle w:val="Normal"/>
        <w:jc w:val="both"/>
        <w:rPr>
          <w:sz w:val="24"/>
        </w:rPr>
      </w:pPr>
      <w:r>
        <w:rPr>
          <w:sz w:val="24"/>
        </w:rPr>
      </w:r>
    </w:p>
    <w:p>
      <w:pPr>
        <w:pStyle w:val="BodyText2"/>
        <w:rPr/>
      </w:pPr>
      <w:r>
        <w:rPr/>
        <w:t>Mr. Bailey raised the issue of the Association joining with other trade associations to provide a single agreement for financial transactions to the industry.  Mr. Pickel described the current status of master agreements from the legal perspective.  He contrasted the single product approach used in the foreign exchange, repo and securities lending markets from the ISDA single agreement approach that permits a wide range of transactions through its definitions booklets and bridge structures.</w:t>
      </w:r>
    </w:p>
    <w:p>
      <w:pPr>
        <w:pStyle w:val="Normal"/>
        <w:jc w:val="both"/>
        <w:rPr>
          <w:sz w:val="24"/>
        </w:rPr>
      </w:pPr>
      <w:r>
        <w:rPr>
          <w:sz w:val="24"/>
        </w:rPr>
      </w:r>
    </w:p>
    <w:p>
      <w:pPr>
        <w:pStyle w:val="Normal"/>
        <w:jc w:val="both"/>
        <w:rPr>
          <w:sz w:val="24"/>
        </w:rPr>
      </w:pPr>
      <w:r>
        <w:rPr>
          <w:sz w:val="24"/>
        </w:rPr>
        <w:t xml:space="preserve">Mr. Pickel distinguished, with respect to  requirements for effective netting, between the netting and the set-off jurisdictions.  He reported that the single agreement works well in both types of jurisdictions but that a master-master approach, such as the BMA’s cross product master agreement and other newer agreement, will require extensive legal opinion guidance.  </w:t>
      </w:r>
    </w:p>
    <w:p>
      <w:pPr>
        <w:pStyle w:val="Normal"/>
        <w:jc w:val="both"/>
        <w:rPr>
          <w:sz w:val="24"/>
        </w:rPr>
      </w:pPr>
      <w:r>
        <w:rPr>
          <w:sz w:val="24"/>
        </w:rPr>
      </w:r>
    </w:p>
    <w:p>
      <w:pPr>
        <w:pStyle w:val="Normal"/>
        <w:jc w:val="both"/>
        <w:rPr>
          <w:sz w:val="24"/>
        </w:rPr>
      </w:pPr>
      <w:r>
        <w:rPr>
          <w:sz w:val="24"/>
        </w:rPr>
        <w:t>Mr. Pickel reviewed  the obstacles to establishing a single  agreement, including the attitudes of other sponsoring associations.  A joint organizational master would require new negotiations and new opinions.  The strong possibility of resistance from other groups was mentioned. There was general agreement that membership direction was key, that such an undertaking would be extensive and that, for the foregoing reasons, Board consensus was necessary.</w:t>
      </w:r>
    </w:p>
    <w:p>
      <w:pPr>
        <w:pStyle w:val="Normal"/>
        <w:jc w:val="both"/>
        <w:rPr>
          <w:sz w:val="24"/>
        </w:rPr>
      </w:pPr>
      <w:r>
        <w:rPr>
          <w:sz w:val="24"/>
        </w:rPr>
      </w:r>
    </w:p>
    <w:p>
      <w:pPr>
        <w:pStyle w:val="Normal"/>
        <w:jc w:val="both"/>
        <w:rPr>
          <w:sz w:val="24"/>
        </w:rPr>
      </w:pPr>
      <w:r>
        <w:rPr>
          <w:sz w:val="24"/>
        </w:rPr>
        <w:t xml:space="preserve">Board members favored working with other associations to work toward an expanded ISDA Master Agreement as an industry single agreement including additional products, including repo. </w:t>
      </w:r>
    </w:p>
    <w:p>
      <w:pPr>
        <w:pStyle w:val="Normal"/>
        <w:jc w:val="both"/>
        <w:rPr>
          <w:sz w:val="24"/>
        </w:rPr>
      </w:pPr>
      <w:r>
        <w:rPr>
          <w:sz w:val="24"/>
        </w:rPr>
        <w:t xml:space="preserve"> </w:t>
      </w:r>
    </w:p>
    <w:p>
      <w:pPr>
        <w:pStyle w:val="Heading1"/>
        <w:ind w:hanging="0" w:start="0"/>
        <w:jc w:val="both"/>
        <w:rPr/>
      </w:pPr>
      <w:r>
        <w:rPr/>
        <w:t>Operations Benchmarking Survey</w:t>
      </w:r>
    </w:p>
    <w:p>
      <w:pPr>
        <w:pStyle w:val="Normal"/>
        <w:jc w:val="both"/>
        <w:rPr>
          <w:sz w:val="24"/>
        </w:rPr>
      </w:pPr>
      <w:r>
        <w:rPr>
          <w:sz w:val="24"/>
        </w:rPr>
      </w:r>
    </w:p>
    <w:p>
      <w:pPr>
        <w:pStyle w:val="Normal"/>
        <w:jc w:val="both"/>
        <w:rPr>
          <w:sz w:val="24"/>
        </w:rPr>
      </w:pPr>
      <w:r>
        <w:rPr>
          <w:sz w:val="24"/>
        </w:rPr>
        <w:t>Ms. Ainslie reviewed the preliminary conclusions of the Operations Benchmarking Survey, which was expected to be published in October. The Association had engaged the services of Lombard Risk to compile and review the data and to produce the report on the results. The purpose of the survey was the first industry-sponsored survey providing detailed quantitative information on the processing of privately negotiated derivatives.  The ISDA 2000 OPERATIONS BENCHMARKING SURVEY: Over-the-counter Derivatives Operations Issues focuses principally on trade processing and documentation.</w:t>
      </w:r>
    </w:p>
    <w:p>
      <w:pPr>
        <w:pStyle w:val="Normal"/>
        <w:jc w:val="both"/>
        <w:rPr>
          <w:sz w:val="24"/>
        </w:rPr>
      </w:pPr>
      <w:r>
        <w:rPr>
          <w:sz w:val="24"/>
        </w:rPr>
      </w:r>
    </w:p>
    <w:p>
      <w:pPr>
        <w:pStyle w:val="Heading1"/>
        <w:ind w:hanging="0" w:start="0"/>
        <w:jc w:val="both"/>
        <w:rPr/>
      </w:pPr>
      <w:r>
        <w:rPr/>
        <w:t>Discussion of ISDA Committee Agendas and Timetables</w:t>
      </w:r>
    </w:p>
    <w:p>
      <w:pPr>
        <w:pStyle w:val="Normal"/>
        <w:jc w:val="both"/>
        <w:rPr>
          <w:sz w:val="24"/>
        </w:rPr>
      </w:pPr>
      <w:r>
        <w:rPr>
          <w:sz w:val="24"/>
        </w:rPr>
      </w:r>
    </w:p>
    <w:p>
      <w:pPr>
        <w:pStyle w:val="Normal"/>
        <w:jc w:val="both"/>
        <w:rPr>
          <w:sz w:val="24"/>
        </w:rPr>
      </w:pPr>
      <w:r>
        <w:rPr>
          <w:sz w:val="24"/>
        </w:rPr>
        <w:t>Mr. Grove referred directors to the materials that provided a summary of the current agenda for each of the ISDA Committees. A number of specific pending matters were highlighted.  Among these were the EMU Protocol for the Greek Drachma, the plans to join in an amicus brief in a case in the United States involving Bank One which raised questions regarding the marking to market done by firms for tax purposes and concerns over recent adverse changes in tax law in Germany affecting equity derivatives.</w:t>
      </w:r>
    </w:p>
    <w:p>
      <w:pPr>
        <w:pStyle w:val="Normal"/>
        <w:jc w:val="both"/>
        <w:rPr>
          <w:sz w:val="24"/>
        </w:rPr>
      </w:pPr>
      <w:r>
        <w:rPr>
          <w:sz w:val="24"/>
        </w:rPr>
      </w:r>
    </w:p>
    <w:p>
      <w:pPr>
        <w:pStyle w:val="Heading1"/>
        <w:ind w:hanging="0" w:start="0"/>
        <w:jc w:val="both"/>
        <w:rPr/>
      </w:pPr>
      <w:r>
        <w:rPr/>
        <w:t>Financial Forecast for 2000</w:t>
      </w:r>
    </w:p>
    <w:p>
      <w:pPr>
        <w:pStyle w:val="Normal"/>
        <w:jc w:val="both"/>
        <w:rPr>
          <w:sz w:val="24"/>
        </w:rPr>
      </w:pPr>
      <w:r>
        <w:rPr>
          <w:sz w:val="24"/>
        </w:rPr>
      </w:r>
    </w:p>
    <w:p>
      <w:pPr>
        <w:pStyle w:val="Normal"/>
        <w:jc w:val="both"/>
        <w:rPr>
          <w:sz w:val="24"/>
        </w:rPr>
      </w:pPr>
      <w:r>
        <w:rPr>
          <w:sz w:val="24"/>
        </w:rPr>
        <w:t>Mr. Bailey, in introducing the next item for discussion, noted that David Lafleur, Director of Finance and Administration for the Association, was leaving the Association for another opportunity. Mr. Bailey, on behalf of the Board, thanked Mr. Lafleur for his efforts in support of the Association.</w:t>
      </w:r>
    </w:p>
    <w:p>
      <w:pPr>
        <w:pStyle w:val="Normal"/>
        <w:jc w:val="both"/>
        <w:rPr>
          <w:sz w:val="24"/>
        </w:rPr>
      </w:pPr>
      <w:r>
        <w:rPr>
          <w:sz w:val="24"/>
        </w:rPr>
      </w:r>
    </w:p>
    <w:p>
      <w:pPr>
        <w:pStyle w:val="Normal"/>
        <w:jc w:val="both"/>
        <w:rPr>
          <w:sz w:val="24"/>
        </w:rPr>
      </w:pPr>
      <w:r>
        <w:rPr>
          <w:sz w:val="24"/>
        </w:rPr>
        <w:t>Mr. Grove then turned to a review of the projected results for the current fiscal year. He indicated that a slight surplus was projected as a result of holding down certain committee costs and increases in dues and conference revenues. In addition, G&amp;A costs were lower than projected because several staff vacancies had not been filled.  Interest revenue was higher than projected, and publications revenue had picked up with the publication of the 2000 ISDA Definitions.</w:t>
      </w:r>
    </w:p>
    <w:p>
      <w:pPr>
        <w:pStyle w:val="Normal"/>
        <w:jc w:val="both"/>
        <w:rPr>
          <w:sz w:val="24"/>
        </w:rPr>
      </w:pPr>
      <w:r>
        <w:rPr>
          <w:sz w:val="24"/>
        </w:rPr>
      </w:r>
    </w:p>
    <w:p>
      <w:pPr>
        <w:pStyle w:val="Heading1"/>
        <w:ind w:hanging="0" w:start="0"/>
        <w:jc w:val="both"/>
        <w:rPr/>
      </w:pPr>
      <w:r>
        <w:rPr/>
        <w:t>ISDA’s Three-Year Outlook</w:t>
      </w:r>
    </w:p>
    <w:p>
      <w:pPr>
        <w:pStyle w:val="Normal"/>
        <w:jc w:val="both"/>
        <w:rPr>
          <w:sz w:val="24"/>
        </w:rPr>
      </w:pPr>
      <w:r>
        <w:rPr>
          <w:sz w:val="24"/>
        </w:rPr>
      </w:r>
    </w:p>
    <w:p>
      <w:pPr>
        <w:pStyle w:val="Normal"/>
        <w:jc w:val="both"/>
        <w:rPr>
          <w:sz w:val="24"/>
        </w:rPr>
      </w:pPr>
      <w:r>
        <w:rPr>
          <w:sz w:val="24"/>
        </w:rPr>
        <w:t>Mr. Grove reviewed the three-year outlook for the Association, which provides the basis for the budget to be presented at the November Board meeting. He pointed out that the projected results for 2001 were for a slight surplus, but that in 2002 and 2003 expenses were projected to exceed revenue.</w:t>
      </w:r>
    </w:p>
    <w:p>
      <w:pPr>
        <w:pStyle w:val="Normal"/>
        <w:jc w:val="both"/>
        <w:rPr>
          <w:sz w:val="24"/>
        </w:rPr>
      </w:pPr>
      <w:r>
        <w:rPr>
          <w:sz w:val="24"/>
        </w:rPr>
      </w:r>
    </w:p>
    <w:p>
      <w:pPr>
        <w:pStyle w:val="Normal"/>
        <w:jc w:val="both"/>
        <w:rPr>
          <w:sz w:val="24"/>
        </w:rPr>
      </w:pPr>
      <w:r>
        <w:rPr>
          <w:sz w:val="24"/>
        </w:rPr>
        <w:t>Headcount in New York and London were projected to remain constant, with total increases of three persons in the Asian offices offer the three-year period. The increases in payroll were attributable to increases in compensation for existing employees with the goal of providing incentives to stay with ISDA. The increases were at least partially offset by lower expenses of outside consultants as a result of bringing more work in-house.</w:t>
      </w:r>
    </w:p>
    <w:p>
      <w:pPr>
        <w:pStyle w:val="Normal"/>
        <w:jc w:val="both"/>
        <w:rPr>
          <w:sz w:val="24"/>
        </w:rPr>
      </w:pPr>
      <w:r>
        <w:rPr>
          <w:sz w:val="24"/>
        </w:rPr>
      </w:r>
    </w:p>
    <w:p>
      <w:pPr>
        <w:pStyle w:val="Normal"/>
        <w:jc w:val="both"/>
        <w:rPr>
          <w:sz w:val="24"/>
        </w:rPr>
      </w:pPr>
      <w:r>
        <w:rPr>
          <w:sz w:val="24"/>
        </w:rPr>
        <w:t>Membership revenues were projected to remain flat absent a dues increase. Mergers in Japan were expected to particularly affect revenues in 2002. The assumptions on new members were conservative given that many sources of new members had been tapped (which it was noted may not in fact hold true), but that there was some potential in certain industries and in new geographic areas.</w:t>
      </w:r>
    </w:p>
    <w:p>
      <w:pPr>
        <w:pStyle w:val="Normal"/>
        <w:jc w:val="both"/>
        <w:rPr>
          <w:sz w:val="24"/>
        </w:rPr>
      </w:pPr>
      <w:r>
        <w:rPr>
          <w:sz w:val="24"/>
        </w:rPr>
      </w:r>
    </w:p>
    <w:p>
      <w:pPr>
        <w:pStyle w:val="BodyText2"/>
        <w:rPr/>
      </w:pPr>
      <w:r>
        <w:rPr/>
        <w:t>Office rents in both New York and London were projected to increase in 2002, with the New York increases expected to be substantial. The budget had been prepared on the assumption the New York office would remain in its present headquarters.</w:t>
      </w:r>
    </w:p>
    <w:p>
      <w:pPr>
        <w:pStyle w:val="Normal"/>
        <w:jc w:val="both"/>
        <w:rPr>
          <w:sz w:val="24"/>
        </w:rPr>
      </w:pPr>
      <w:r>
        <w:rPr>
          <w:sz w:val="24"/>
        </w:rPr>
      </w:r>
    </w:p>
    <w:p>
      <w:pPr>
        <w:pStyle w:val="Normal"/>
        <w:jc w:val="both"/>
        <w:rPr>
          <w:sz w:val="24"/>
        </w:rPr>
      </w:pPr>
      <w:r>
        <w:rPr>
          <w:sz w:val="24"/>
        </w:rPr>
        <w:t>Mr. Grove reviewed the exchange rate assumptions and indicated that the Association would expect to hedge a good portion of that exposure in November. Several directors indicated that some consideration should be given to hedging sooner than November, and Mr. Grove indicated he would look into it.</w:t>
      </w:r>
    </w:p>
    <w:p>
      <w:pPr>
        <w:pStyle w:val="Normal"/>
        <w:jc w:val="both"/>
        <w:rPr>
          <w:sz w:val="24"/>
        </w:rPr>
      </w:pPr>
      <w:r>
        <w:rPr>
          <w:sz w:val="24"/>
        </w:rPr>
      </w:r>
    </w:p>
    <w:p>
      <w:pPr>
        <w:pStyle w:val="Normal"/>
        <w:jc w:val="both"/>
        <w:rPr>
          <w:sz w:val="24"/>
        </w:rPr>
      </w:pPr>
      <w:r>
        <w:rPr>
          <w:sz w:val="24"/>
        </w:rPr>
        <w:t>Mr. Grove reviewed the plans for hiring in the Japanese office, which projected the hiring of an administrative person in 2001 and a policy person in 2002. He indicated that the need for an additional policy person in the near term had become more critical.  He sought the Board’s approval to hire the policy person, in addition to the administrative person, in 2001. After discussion, the Board approved the proposal.</w:t>
      </w:r>
    </w:p>
    <w:p>
      <w:pPr>
        <w:pStyle w:val="Normal"/>
        <w:jc w:val="both"/>
        <w:rPr>
          <w:sz w:val="24"/>
        </w:rPr>
      </w:pPr>
      <w:r>
        <w:rPr>
          <w:sz w:val="24"/>
        </w:rPr>
      </w:r>
    </w:p>
    <w:p>
      <w:pPr>
        <w:pStyle w:val="Heading1"/>
        <w:ind w:hanging="0" w:start="0"/>
        <w:jc w:val="both"/>
        <w:rPr/>
      </w:pPr>
      <w:r>
        <w:rPr/>
        <w:t>Proration of Membership Dues</w:t>
      </w:r>
    </w:p>
    <w:p>
      <w:pPr>
        <w:pStyle w:val="Normal"/>
        <w:jc w:val="both"/>
        <w:rPr>
          <w:sz w:val="24"/>
        </w:rPr>
      </w:pPr>
      <w:r>
        <w:rPr>
          <w:sz w:val="24"/>
        </w:rPr>
      </w:r>
    </w:p>
    <w:p>
      <w:pPr>
        <w:pStyle w:val="Normal"/>
        <w:jc w:val="both"/>
        <w:rPr>
          <w:sz w:val="24"/>
        </w:rPr>
      </w:pPr>
      <w:r>
        <w:rPr>
          <w:sz w:val="24"/>
        </w:rPr>
        <w:t>Mr. Grove described the practice of prorating, on a quarterly basis, the membership dues of primary and associate members. Because of the small dues amount for subscriber members ($3,000), the practice has been not to prorate those dues. Recent experiences, particularly with a number of potential subscriber members in Japan, suggested that this practice was limiting growth in subscriber membership. Mr. Grove suggested a change in that policy and, after a brief discussion, the proposal was approved.</w:t>
      </w:r>
    </w:p>
    <w:p>
      <w:pPr>
        <w:pStyle w:val="Normal"/>
        <w:jc w:val="both"/>
        <w:rPr>
          <w:sz w:val="24"/>
        </w:rPr>
      </w:pPr>
      <w:r>
        <w:rPr>
          <w:sz w:val="24"/>
        </w:rPr>
      </w:r>
    </w:p>
    <w:p>
      <w:pPr>
        <w:pStyle w:val="Heading1"/>
        <w:ind w:hanging="0" w:start="0"/>
        <w:jc w:val="both"/>
        <w:rPr/>
      </w:pPr>
      <w:r>
        <w:rPr/>
        <w:t>Additional Membership Application</w:t>
      </w:r>
    </w:p>
    <w:p>
      <w:pPr>
        <w:pStyle w:val="Normal"/>
        <w:jc w:val="both"/>
        <w:rPr>
          <w:sz w:val="24"/>
        </w:rPr>
      </w:pPr>
      <w:r>
        <w:rPr>
          <w:sz w:val="24"/>
        </w:rPr>
      </w:r>
    </w:p>
    <w:p>
      <w:pPr>
        <w:pStyle w:val="Normal"/>
        <w:jc w:val="both"/>
        <w:rPr>
          <w:sz w:val="24"/>
        </w:rPr>
      </w:pPr>
      <w:r>
        <w:rPr>
          <w:sz w:val="24"/>
        </w:rPr>
        <w:t>Mr. Bailey indicated that an additional membership application had been received for Oesterreichische Volksbanken Aktiengesellschaft as a primary member. After a brief discussion, the following resolution was unanimously approved:</w:t>
      </w:r>
    </w:p>
    <w:p>
      <w:pPr>
        <w:pStyle w:val="Normal"/>
        <w:jc w:val="both"/>
        <w:rPr>
          <w:sz w:val="24"/>
        </w:rPr>
      </w:pPr>
      <w:r>
        <w:rPr>
          <w:sz w:val="24"/>
        </w:rPr>
      </w:r>
    </w:p>
    <w:p>
      <w:pPr>
        <w:pStyle w:val="Normal"/>
        <w:tabs>
          <w:tab w:val="clear" w:pos="720"/>
          <w:tab w:val="left" w:pos="0" w:leader="none"/>
        </w:tabs>
        <w:suppressAutoHyphens w:val="true"/>
        <w:ind w:start="720" w:end="0"/>
        <w:jc w:val="both"/>
        <w:rPr/>
      </w:pPr>
      <w:r>
        <w:rPr>
          <w:spacing w:val="-3"/>
          <w:sz w:val="24"/>
        </w:rPr>
        <w:t xml:space="preserve">RESOLVED, that the application for membership for Oesterreichische Volksbanken-Aktiengesellschaft as a Primary Member be, and the same hereby is, approved; and that, subject to the receipt by the Association of payment of an annual membership fee of $25,000, </w:t>
      </w:r>
      <w:r>
        <w:rPr>
          <w:sz w:val="24"/>
        </w:rPr>
        <w:t xml:space="preserve">Oesterreichische Volksbanken-Aktiengesellschaft </w:t>
      </w:r>
      <w:r>
        <w:rPr>
          <w:spacing w:val="-3"/>
          <w:sz w:val="24"/>
        </w:rPr>
        <w:t>be, and the same hereby is, elected as a Primary Member of the Association.</w:t>
      </w:r>
    </w:p>
    <w:p>
      <w:pPr>
        <w:pStyle w:val="Normal"/>
        <w:jc w:val="both"/>
        <w:rPr>
          <w:spacing w:val="-3"/>
          <w:sz w:val="24"/>
        </w:rPr>
      </w:pPr>
      <w:r>
        <w:rPr>
          <w:spacing w:val="-3"/>
          <w:sz w:val="24"/>
        </w:rPr>
      </w:r>
    </w:p>
    <w:p>
      <w:pPr>
        <w:pStyle w:val="Heading1"/>
        <w:ind w:hanging="0" w:start="0"/>
        <w:jc w:val="both"/>
        <w:rPr/>
      </w:pPr>
      <w:r>
        <w:rPr/>
        <w:t>ISDA’s View on a Single European Regulator</w:t>
      </w:r>
    </w:p>
    <w:p>
      <w:pPr>
        <w:pStyle w:val="Normal"/>
        <w:jc w:val="both"/>
        <w:rPr>
          <w:sz w:val="24"/>
        </w:rPr>
      </w:pPr>
      <w:r>
        <w:rPr>
          <w:sz w:val="24"/>
        </w:rPr>
      </w:r>
    </w:p>
    <w:p>
      <w:pPr>
        <w:pStyle w:val="BodyText2"/>
        <w:rPr/>
      </w:pPr>
      <w:r>
        <w:rPr/>
        <w:t>Mr. Collier described the high-level discussions that were underway in Europe regarding the establishment of a single European securities regulator. The sense of the Board was that this development should be monitored by the Association as the process was likely to be evolutionary. It was noted that concern over a single, powerful regulator across Europe must be weighed against the potential for contradictory and inefficient nature of multiple regulatory regimes.</w:t>
      </w:r>
    </w:p>
    <w:p>
      <w:pPr>
        <w:pStyle w:val="Normal"/>
        <w:jc w:val="both"/>
        <w:rPr>
          <w:sz w:val="24"/>
        </w:rPr>
      </w:pPr>
      <w:r>
        <w:rPr>
          <w:sz w:val="24"/>
        </w:rPr>
      </w:r>
    </w:p>
    <w:p>
      <w:pPr>
        <w:pStyle w:val="Heading1"/>
        <w:ind w:hanging="0" w:start="0"/>
        <w:jc w:val="both"/>
        <w:rPr/>
      </w:pPr>
      <w:r>
        <w:rPr/>
        <w:t>ISDA’s Relationship with INSEAD</w:t>
      </w:r>
    </w:p>
    <w:p>
      <w:pPr>
        <w:pStyle w:val="Normal"/>
        <w:jc w:val="both"/>
        <w:rPr>
          <w:sz w:val="24"/>
        </w:rPr>
      </w:pPr>
      <w:r>
        <w:rPr>
          <w:sz w:val="24"/>
        </w:rPr>
      </w:r>
    </w:p>
    <w:p>
      <w:pPr>
        <w:pStyle w:val="Normal"/>
        <w:jc w:val="both"/>
        <w:rPr>
          <w:sz w:val="24"/>
        </w:rPr>
      </w:pPr>
      <w:r>
        <w:rPr>
          <w:sz w:val="24"/>
        </w:rPr>
        <w:t xml:space="preserve">Mr. Grove briefly described the history of the Association’s relationship with INSEAD, an educational program that continues to use the ISDA name but for which there is not direct ISDA involvement. In the early stages of the relationship, ISDA had taken an active role in developing and promoting the program, but those functions had been taken over by INSEAD several years before. </w:t>
      </w:r>
    </w:p>
    <w:p>
      <w:pPr>
        <w:pStyle w:val="Normal"/>
        <w:jc w:val="both"/>
        <w:rPr>
          <w:sz w:val="24"/>
        </w:rPr>
      </w:pPr>
      <w:r>
        <w:rPr>
          <w:sz w:val="24"/>
        </w:rPr>
      </w:r>
    </w:p>
    <w:p>
      <w:pPr>
        <w:pStyle w:val="Normal"/>
        <w:jc w:val="both"/>
        <w:rPr>
          <w:sz w:val="24"/>
        </w:rPr>
      </w:pPr>
      <w:r>
        <w:rPr>
          <w:sz w:val="24"/>
        </w:rPr>
        <w:t>The Board discussed whether to continue to permit the use of the ISDA name. Mr. Bongartz-Renaud indicated that he believed that INSEAD would be happy to have ISDA more involved. Messrs. Bongartz-Renaud and Bruttel offered to talk with INSEAD to determine their views on continuing the relationship.</w:t>
      </w:r>
    </w:p>
    <w:p>
      <w:pPr>
        <w:pStyle w:val="Normal"/>
        <w:jc w:val="both"/>
        <w:rPr>
          <w:sz w:val="24"/>
        </w:rPr>
      </w:pPr>
      <w:r>
        <w:rPr>
          <w:sz w:val="24"/>
        </w:rPr>
      </w:r>
    </w:p>
    <w:p>
      <w:pPr>
        <w:pStyle w:val="Heading1"/>
        <w:ind w:hanging="0" w:start="0"/>
        <w:jc w:val="both"/>
        <w:rPr/>
      </w:pPr>
      <w:r>
        <w:rPr/>
        <w:t>Other Matters</w:t>
      </w:r>
    </w:p>
    <w:p>
      <w:pPr>
        <w:pStyle w:val="Normal"/>
        <w:jc w:val="both"/>
        <w:rPr>
          <w:sz w:val="24"/>
        </w:rPr>
      </w:pPr>
      <w:r>
        <w:rPr>
          <w:sz w:val="24"/>
        </w:rPr>
      </w:r>
    </w:p>
    <w:p>
      <w:pPr>
        <w:pStyle w:val="Normal"/>
        <w:jc w:val="both"/>
        <w:rPr>
          <w:sz w:val="24"/>
        </w:rPr>
      </w:pPr>
      <w:r>
        <w:rPr>
          <w:sz w:val="24"/>
        </w:rPr>
        <w:t>Mr. Mark reported on a conference sponsored by the Federal Reserve Board in San Francisco, which he attended on behalf of the organization.</w:t>
      </w:r>
    </w:p>
    <w:p>
      <w:pPr>
        <w:pStyle w:val="Normal"/>
        <w:jc w:val="both"/>
        <w:rPr>
          <w:sz w:val="24"/>
        </w:rPr>
      </w:pPr>
      <w:r>
        <w:rPr>
          <w:sz w:val="24"/>
        </w:rPr>
      </w:r>
    </w:p>
    <w:p>
      <w:pPr>
        <w:pStyle w:val="BodyText2"/>
        <w:rPr/>
      </w:pPr>
      <w:r>
        <w:rPr/>
        <w:t>The Board reviewed the discussion at the Strategic Planning Session regarding the ability of members to link to their home pages.  It was agreed that members of the Association would be permitted to have a hyperlink from the reference to the member on the member list included on the website.  In addition members would have the option to include a brief description of the firm on the member list.</w:t>
      </w:r>
    </w:p>
    <w:p>
      <w:pPr>
        <w:pStyle w:val="Normal"/>
        <w:jc w:val="both"/>
        <w:rPr>
          <w:sz w:val="24"/>
        </w:rPr>
      </w:pPr>
      <w:r>
        <w:rPr>
          <w:sz w:val="24"/>
        </w:rPr>
      </w:r>
    </w:p>
    <w:p>
      <w:pPr>
        <w:pStyle w:val="Normal"/>
        <w:jc w:val="both"/>
        <w:rPr>
          <w:sz w:val="24"/>
        </w:rPr>
      </w:pPr>
      <w:r>
        <w:rPr>
          <w:sz w:val="24"/>
        </w:rPr>
        <w:t>Mr. Moulds described the proposal to establish a panel of practitioners drawn from the Board and the Trading Practices Committee to meet quarterly or as needed to consider market practice issues that arise and offer non-binding resolution of those issues. The Board directed Mr. Moulds to formalize such a panel.</w:t>
      </w:r>
    </w:p>
    <w:p>
      <w:pPr>
        <w:pStyle w:val="Normal"/>
        <w:jc w:val="both"/>
        <w:rPr>
          <w:sz w:val="24"/>
        </w:rPr>
      </w:pPr>
      <w:r>
        <w:rPr>
          <w:sz w:val="24"/>
        </w:rPr>
      </w:r>
    </w:p>
    <w:p>
      <w:pPr>
        <w:pStyle w:val="Normal"/>
        <w:jc w:val="both"/>
        <w:rPr>
          <w:sz w:val="24"/>
        </w:rPr>
      </w:pPr>
      <w:r>
        <w:rPr>
          <w:sz w:val="24"/>
        </w:rPr>
        <w:t>Mr. Moulds also described the discussions that had taken place within the Operations and Trading Practices Committees regarding the appropriate business day locations for expiration and valuation of certain cash settled options, such as swaptions and mutual puts, involving EURIBOR. Mr. Moulds polled the Board to determine whether the relevant locations were just TARGET settlement days or whether London should also be included. The consensus was that London should be included.</w:t>
      </w:r>
    </w:p>
    <w:p>
      <w:pPr>
        <w:pStyle w:val="Normal"/>
        <w:jc w:val="both"/>
        <w:rPr>
          <w:sz w:val="24"/>
        </w:rPr>
      </w:pPr>
      <w:r>
        <w:rPr>
          <w:sz w:val="24"/>
        </w:rPr>
      </w:r>
    </w:p>
    <w:p>
      <w:pPr>
        <w:pStyle w:val="Normal"/>
        <w:jc w:val="both"/>
        <w:rPr>
          <w:sz w:val="24"/>
        </w:rPr>
      </w:pPr>
      <w:r>
        <w:rPr>
          <w:sz w:val="24"/>
        </w:rPr>
        <w:t>Mr. Bruttel raised two issues. First, he mentioned the Polish Language Act, which appeared to require the translation of master agreements and transaction documents into Polish in order for them to be enforceable against Polish counterparties in Polish courts. He urged that an effort be undertaken, either through ISDA or through some group of banks, to translate relevant documents. Mr. Collier described the current efforts of the Association to translate documents. He indicated that in a recent meeting the Polish banks were strongly of the view that the documentation should not be translated, but that the banks based outside Poland were of the view that the documentation should be translated. Another meeting of the Emerging Markets Task Force had been scheduled to discuss the issue further.</w:t>
      </w:r>
    </w:p>
    <w:p>
      <w:pPr>
        <w:pStyle w:val="Normal"/>
        <w:jc w:val="both"/>
        <w:rPr>
          <w:sz w:val="24"/>
        </w:rPr>
      </w:pPr>
      <w:r>
        <w:rPr>
          <w:sz w:val="24"/>
        </w:rPr>
      </w:r>
    </w:p>
    <w:p>
      <w:pPr>
        <w:pStyle w:val="Normal"/>
        <w:jc w:val="both"/>
        <w:rPr>
          <w:sz w:val="24"/>
        </w:rPr>
      </w:pPr>
      <w:r>
        <w:rPr>
          <w:sz w:val="24"/>
        </w:rPr>
        <w:t>Mr. Bruttel then asked if the Association had developed a position on the practice of certain banks that ring fence certain branches for political risk purposes and, in particular, whether standardized language for ring-fencing should be developed. Mr. Pickel reported that the issue was under discussion in one of the Strategic Documentation Review working groups. It was agreed that a fuller discussion of the issue would take place at the November Board meeting.</w:t>
      </w:r>
    </w:p>
    <w:p>
      <w:pPr>
        <w:pStyle w:val="Normal"/>
        <w:jc w:val="both"/>
        <w:rPr>
          <w:sz w:val="24"/>
        </w:rPr>
      </w:pPr>
      <w:r>
        <w:rPr>
          <w:sz w:val="24"/>
        </w:rPr>
      </w:r>
    </w:p>
    <w:p>
      <w:pPr>
        <w:pStyle w:val="Normal"/>
        <w:jc w:val="both"/>
        <w:rPr>
          <w:sz w:val="24"/>
        </w:rPr>
      </w:pPr>
      <w:r>
        <w:rPr>
          <w:sz w:val="24"/>
        </w:rPr>
        <w:t>Mr. Grove briefed the Board an issue regarding a former member of the staff.</w:t>
      </w:r>
    </w:p>
    <w:p>
      <w:pPr>
        <w:pStyle w:val="Normal"/>
        <w:rPr>
          <w:sz w:val="24"/>
        </w:rPr>
      </w:pPr>
      <w:r>
        <w:rPr>
          <w:sz w:val="24"/>
        </w:rPr>
      </w:r>
    </w:p>
    <w:p>
      <w:pPr>
        <w:pStyle w:val="Heading1"/>
        <w:ind w:hanging="0" w:start="0"/>
        <w:rPr>
          <w:u w:val="none"/>
        </w:rPr>
      </w:pPr>
      <w:r>
        <w:rPr/>
        <w:t>Succession</w:t>
      </w:r>
    </w:p>
    <w:p>
      <w:pPr>
        <w:pStyle w:val="Normal"/>
        <w:jc w:val="both"/>
        <w:rPr>
          <w:sz w:val="24"/>
          <w:u w:val="none"/>
        </w:rPr>
      </w:pPr>
      <w:r>
        <w:rPr>
          <w:sz w:val="24"/>
          <w:u w:val="none"/>
        </w:rPr>
      </w:r>
    </w:p>
    <w:p>
      <w:pPr>
        <w:pStyle w:val="Normal"/>
        <w:jc w:val="both"/>
        <w:rPr>
          <w:sz w:val="24"/>
        </w:rPr>
      </w:pPr>
      <w:r>
        <w:rPr>
          <w:sz w:val="24"/>
        </w:rPr>
        <w:t xml:space="preserve">Mr. Bailey reported on the deliberations of the committee of the Board that was considering the new Executive Director.  </w:t>
      </w:r>
    </w:p>
    <w:p>
      <w:pPr>
        <w:pStyle w:val="Normal"/>
        <w:jc w:val="both"/>
        <w:rPr>
          <w:sz w:val="24"/>
        </w:rPr>
      </w:pPr>
      <w:r>
        <w:rPr>
          <w:sz w:val="24"/>
        </w:rPr>
      </w:r>
    </w:p>
    <w:p>
      <w:pPr>
        <w:pStyle w:val="Normal"/>
        <w:jc w:val="both"/>
        <w:rPr>
          <w:sz w:val="24"/>
        </w:rPr>
      </w:pPr>
      <w:r>
        <w:rPr>
          <w:sz w:val="24"/>
        </w:rPr>
        <w:t>The meeting was adjourned at 5:45p.m.</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start="5040" w:end="0"/>
        <w:jc w:val="both"/>
        <w:rPr>
          <w:sz w:val="24"/>
        </w:rPr>
      </w:pPr>
      <w:r>
        <w:rPr>
          <w:sz w:val="24"/>
          <w:u w:val="single"/>
        </w:rPr>
        <w:tab/>
        <w:tab/>
        <w:tab/>
        <w:tab/>
        <w:tab/>
        <w:tab/>
      </w:r>
    </w:p>
    <w:p>
      <w:pPr>
        <w:pStyle w:val="Normal"/>
        <w:ind w:start="5040" w:end="0"/>
        <w:jc w:val="both"/>
        <w:rPr>
          <w:sz w:val="24"/>
        </w:rPr>
      </w:pPr>
      <w:r>
        <w:rPr>
          <w:sz w:val="24"/>
        </w:rPr>
        <w:t>Secretary</w:t>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9</w:t>
    </w:r>
    <w:r>
      <w:rPr>
        <w:rStyle w:val="PageNumbe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s>
      <w:suppressAutoHyphens w:val="true"/>
      <w:jc w:val="end"/>
      <w:rPr>
        <w:sz w:val="24"/>
      </w:rPr>
    </w:pPr>
    <w:r>
      <w:rPr>
        <w:sz w:val="24"/>
      </w:rPr>
      <w:t>ISDA Board Meeting Minutes</w:t>
    </w:r>
  </w:p>
  <w:p>
    <w:pPr>
      <w:pStyle w:val="Normal"/>
      <w:tabs>
        <w:tab w:val="clear" w:pos="720"/>
        <w:tab w:val="center" w:pos="4320" w:leader="none"/>
        <w:tab w:val="right" w:pos="8640" w:leader="none"/>
      </w:tabs>
      <w:suppressAutoHyphens w:val="true"/>
      <w:jc w:val="end"/>
      <w:rPr>
        <w:sz w:val="24"/>
      </w:rPr>
    </w:pPr>
    <w:r>
      <w:rPr>
        <w:sz w:val="24"/>
      </w:rPr>
      <w:t>September 13, 2000</w:t>
    </w:r>
  </w:p>
  <w:p>
    <w:pPr>
      <w:pStyle w:val="Normal"/>
      <w:tabs>
        <w:tab w:val="clear" w:pos="720"/>
        <w:tab w:val="center" w:pos="4320" w:leader="none"/>
        <w:tab w:val="right" w:pos="8640" w:leader="none"/>
      </w:tabs>
      <w:suppressAutoHyphens w:val="true"/>
      <w:jc w:val="end"/>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r>
      <w:rPr/>
      <w:fldChar w:fldCharType="begin"/>
    </w:r>
    <w:r>
      <w:rPr/>
      <w:instrText xml:space="preserve"> DATE \@"MM\/dd\/yy" </w:instrText>
    </w:r>
    <w:r>
      <w:rPr/>
      <w:fldChar w:fldCharType="separate"/>
    </w:r>
    <w:r>
      <w:rPr/>
      <w:t>09/28/25</w:t>
    </w:r>
    <w:r>
      <w:rPr/>
      <w:fldChar w:fldCharType="end"/>
    </w:r>
    <w:r>
      <w:rPr/>
      <w:t>]</w:t>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suppressAutoHyphens w:val="true"/>
      <w:jc w:val="both"/>
      <w:outlineLvl w:val="1"/>
    </w:pPr>
    <w:rPr>
      <w:color w:val="000000"/>
      <w:sz w:val="24"/>
      <w:lang w:eastAsia="en-US"/>
    </w:rPr>
  </w:style>
  <w:style w:type="paragraph" w:styleId="Heading3">
    <w:name w:val="heading 3"/>
    <w:basedOn w:val="Normal"/>
    <w:next w:val="Normal"/>
    <w:qFormat/>
    <w:pPr>
      <w:keepNext w:val="true"/>
      <w:numPr>
        <w:ilvl w:val="2"/>
        <w:numId w:val="1"/>
      </w:numPr>
      <w:tabs>
        <w:tab w:val="clear" w:pos="720"/>
        <w:tab w:val="left" w:pos="0" w:leader="none"/>
      </w:tabs>
      <w:suppressAutoHyphens w:val="true"/>
      <w:jc w:val="both"/>
      <w:outlineLvl w:val="2"/>
    </w:pPr>
    <w:rPr>
      <w:spacing w:val="-3"/>
      <w:sz w:val="24"/>
    </w:rPr>
  </w:style>
  <w:style w:type="paragraph" w:styleId="Heading4">
    <w:name w:val="heading 4"/>
    <w:basedOn w:val="Normal"/>
    <w:next w:val="Normal"/>
    <w:qFormat/>
    <w:pPr>
      <w:keepNext w:val="true"/>
      <w:numPr>
        <w:ilvl w:val="3"/>
        <w:numId w:val="1"/>
      </w:numPr>
      <w:tabs>
        <w:tab w:val="clear" w:pos="720"/>
        <w:tab w:val="left" w:pos="0" w:leader="none"/>
      </w:tabs>
      <w:suppressAutoHyphens w:val="true"/>
      <w:jc w:val="both"/>
      <w:outlineLvl w:val="3"/>
    </w:pPr>
    <w:rPr>
      <w:b/>
      <w:spacing w:val="-3"/>
      <w:sz w:val="24"/>
    </w:rPr>
  </w:style>
  <w:style w:type="paragraph" w:styleId="Heading5">
    <w:name w:val="heading 5"/>
    <w:basedOn w:val="Normal"/>
    <w:next w:val="Normal"/>
    <w:qFormat/>
    <w:pPr>
      <w:keepNext w:val="true"/>
      <w:numPr>
        <w:ilvl w:val="4"/>
        <w:numId w:val="1"/>
      </w:numPr>
      <w:tabs>
        <w:tab w:val="clear" w:pos="720"/>
        <w:tab w:val="left" w:pos="4320" w:leader="none"/>
      </w:tabs>
      <w:ind w:hanging="0" w:start="1170" w:end="0"/>
      <w:jc w:val="both"/>
      <w:outlineLvl w:val="4"/>
    </w:pPr>
    <w:rPr>
      <w:spacing w:val="-3"/>
      <w:sz w:val="24"/>
      <w:lang w:eastAsia="en-US"/>
    </w:rPr>
  </w:style>
  <w:style w:type="paragraph" w:styleId="Heading6">
    <w:name w:val="heading 6"/>
    <w:basedOn w:val="Normal"/>
    <w:next w:val="Normal"/>
    <w:qFormat/>
    <w:pPr>
      <w:keepNext w:val="true"/>
      <w:numPr>
        <w:ilvl w:val="5"/>
        <w:numId w:val="1"/>
      </w:numPr>
      <w:suppressAutoHyphens w:val="true"/>
      <w:ind w:hanging="0" w:start="1422" w:end="0"/>
      <w:jc w:val="both"/>
      <w:outlineLvl w:val="5"/>
    </w:pPr>
    <w:rPr>
      <w:spacing w:val="-3"/>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next w:val="Normal"/>
    <w:qFormat/>
    <w:pPr/>
    <w:rPr>
      <w:rFonts w:ascii="CG Times" w:hAnsi="CG Times" w:cs="CG Times"/>
      <w:sz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G Times" w:hAnsi="CG Times" w:cs="CG Times"/>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4"/>
    </w:rPr>
  </w:style>
  <w:style w:type="paragraph" w:styleId="BodyTextIndent">
    <w:name w:val="Body Text Indent"/>
    <w:basedOn w:val="Normal"/>
    <w:pPr>
      <w:suppressAutoHyphens w:val="true"/>
      <w:ind w:hanging="720" w:start="720" w:end="0"/>
      <w:jc w:val="both"/>
    </w:pPr>
    <w:rPr>
      <w:spacing w:val="-3"/>
      <w:sz w:val="24"/>
    </w:rPr>
  </w:style>
  <w:style w:type="paragraph" w:styleId="BodyTextIndent2">
    <w:name w:val="Body Text Indent 2"/>
    <w:basedOn w:val="Normal"/>
    <w:qFormat/>
    <w:pPr>
      <w:tabs>
        <w:tab w:val="clear" w:pos="720"/>
        <w:tab w:val="left" w:pos="0" w:leader="none"/>
      </w:tabs>
      <w:suppressAutoHyphens w:val="true"/>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2000-12-06T14:43:00Z</dcterms:created>
  <dc:creator>Robert Pickel</dc:creator>
  <dc:description/>
  <dc:language>en-CA</dc:language>
  <cp:lastModifiedBy>Robert Pickel</cp:lastModifiedBy>
  <cp:lastPrinted>2000-11-14T12:43:00Z</cp:lastPrinted>
  <dcterms:modified xsi:type="dcterms:W3CDTF">2000-12-06T14:43:00Z</dcterms:modified>
  <cp:revision>2</cp:revision>
  <dc:subject/>
  <dc:title>European Collateral Law Reform</dc:title>
</cp:coreProperties>
</file>